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36BAE" w14:textId="77777777" w:rsidR="00EE321A" w:rsidRPr="00537C5E" w:rsidRDefault="00EE321A" w:rsidP="008D08EA">
      <w:pPr>
        <w:pStyle w:val="BodyText"/>
        <w:rPr>
          <w:u w:val="single"/>
        </w:rPr>
      </w:pPr>
    </w:p>
    <w:p w14:paraId="1236A5FD" w14:textId="77777777" w:rsidR="00EE321A" w:rsidRPr="007B1E88" w:rsidRDefault="00EE321A" w:rsidP="00EE321A">
      <w:pPr>
        <w:rPr>
          <w:sz w:val="28"/>
          <w:szCs w:val="28"/>
        </w:rPr>
      </w:pPr>
    </w:p>
    <w:p w14:paraId="558AA217" w14:textId="77777777" w:rsidR="0091104F" w:rsidRDefault="0091104F" w:rsidP="008D08EA">
      <w:pPr>
        <w:pStyle w:val="BodyText"/>
      </w:pPr>
    </w:p>
    <w:p w14:paraId="42793BA0" w14:textId="77777777" w:rsidR="005E1A66" w:rsidRDefault="005E1A66" w:rsidP="008D08EA">
      <w:pPr>
        <w:pStyle w:val="BodyText"/>
      </w:pPr>
      <w:bookmarkStart w:id="0" w:name="_Toc489966473"/>
      <w:bookmarkStart w:id="1" w:name="_Toc489972311"/>
    </w:p>
    <w:p w14:paraId="3FF138D9" w14:textId="77777777" w:rsidR="009A20EC" w:rsidRDefault="0031090B" w:rsidP="009A20EC">
      <w:pPr>
        <w:pStyle w:val="Heading1"/>
      </w:pPr>
      <w:r>
        <w:t>ISP Admissions and Enrolment</w:t>
      </w:r>
      <w:r w:rsidR="009257B5">
        <w:t xml:space="preserve"> Policy</w:t>
      </w:r>
    </w:p>
    <w:p w14:paraId="241EC0DD" w14:textId="77777777" w:rsidR="0005754E" w:rsidRDefault="0005754E" w:rsidP="0005754E">
      <w:pPr>
        <w:pStyle w:val="Heading2"/>
      </w:pPr>
      <w:r>
        <w:t>Purpose</w:t>
      </w:r>
    </w:p>
    <w:p w14:paraId="4AD9A491" w14:textId="5D970CF9" w:rsidR="006074CA" w:rsidRDefault="0005754E" w:rsidP="008D08EA">
      <w:pPr>
        <w:pStyle w:val="BodyText"/>
      </w:pPr>
      <w:r w:rsidRPr="0031090B">
        <w:t xml:space="preserve">This policy </w:t>
      </w:r>
      <w:r w:rsidR="006074CA">
        <w:t>outlines</w:t>
      </w:r>
      <w:r w:rsidRPr="0031090B">
        <w:t xml:space="preserve"> </w:t>
      </w:r>
      <w:r w:rsidR="006074CA">
        <w:t xml:space="preserve">the </w:t>
      </w:r>
      <w:r w:rsidR="00890663">
        <w:t xml:space="preserve">admission, enrolment </w:t>
      </w:r>
      <w:r w:rsidR="00F45676">
        <w:t xml:space="preserve">and </w:t>
      </w:r>
      <w:r w:rsidR="006074CA">
        <w:t xml:space="preserve">eligibility requirements </w:t>
      </w:r>
      <w:r w:rsidR="00894FF8">
        <w:t xml:space="preserve">used by the Department of Education </w:t>
      </w:r>
      <w:r w:rsidR="00B9027B">
        <w:t>(</w:t>
      </w:r>
      <w:r w:rsidR="00894FF8">
        <w:t>International Education Division</w:t>
      </w:r>
      <w:r w:rsidR="00B9027B">
        <w:t>)</w:t>
      </w:r>
      <w:r w:rsidR="00894FF8">
        <w:t xml:space="preserve"> (DE (IED)) </w:t>
      </w:r>
      <w:r w:rsidR="00F039AB">
        <w:t xml:space="preserve">in administering </w:t>
      </w:r>
      <w:r w:rsidR="00604766">
        <w:t>the International Student Program (</w:t>
      </w:r>
      <w:r w:rsidR="00604766" w:rsidRPr="0031090B">
        <w:t>ISP</w:t>
      </w:r>
      <w:r w:rsidR="00604766">
        <w:t>)</w:t>
      </w:r>
      <w:r w:rsidR="00894FF8">
        <w:t xml:space="preserve"> for Victorian Government Schools.</w:t>
      </w:r>
    </w:p>
    <w:p w14:paraId="1A8B370E" w14:textId="3EC123DE" w:rsidR="008F656C" w:rsidRDefault="00894FF8" w:rsidP="008D08EA">
      <w:pPr>
        <w:pStyle w:val="BodyText"/>
      </w:pPr>
      <w:r>
        <w:t xml:space="preserve">This policy should be read in conjunction with the </w:t>
      </w:r>
      <w:hyperlink r:id="rId12" w:history="1">
        <w:r w:rsidRPr="00F40C30">
          <w:rPr>
            <w:rStyle w:val="Hyperlink"/>
          </w:rPr>
          <w:t>ISP Admissions and Enrolment Procedure</w:t>
        </w:r>
      </w:hyperlink>
      <w:r>
        <w:t xml:space="preserve">, and is for </w:t>
      </w:r>
      <w:r w:rsidR="00604766">
        <w:t>DE (IED)</w:t>
      </w:r>
      <w:r w:rsidR="0085128C">
        <w:t xml:space="preserve"> staff</w:t>
      </w:r>
      <w:r w:rsidR="00604766">
        <w:t xml:space="preserve">, </w:t>
      </w:r>
      <w:r w:rsidR="00D9013C">
        <w:t>international students and their</w:t>
      </w:r>
      <w:r w:rsidR="00604766">
        <w:t xml:space="preserve"> </w:t>
      </w:r>
      <w:r w:rsidR="007C3D53" w:rsidRPr="005B1354">
        <w:t>parent</w:t>
      </w:r>
      <w:r w:rsidR="00E761DC">
        <w:t>(</w:t>
      </w:r>
      <w:r w:rsidR="007C3D53" w:rsidRPr="005B1354">
        <w:t>s</w:t>
      </w:r>
      <w:r w:rsidR="00E761DC">
        <w:t>) or</w:t>
      </w:r>
      <w:r w:rsidR="00CE39FD">
        <w:t xml:space="preserve"> legal</w:t>
      </w:r>
      <w:r w:rsidR="007C3D53" w:rsidRPr="005B1354">
        <w:t xml:space="preserve"> </w:t>
      </w:r>
      <w:r w:rsidR="00702D22">
        <w:t>guardian</w:t>
      </w:r>
      <w:r w:rsidR="00E761DC">
        <w:t>(</w:t>
      </w:r>
      <w:r w:rsidR="00810C35">
        <w:t>s</w:t>
      </w:r>
      <w:r w:rsidR="00E761DC">
        <w:t>)</w:t>
      </w:r>
      <w:r w:rsidR="00604766">
        <w:t>, agents</w:t>
      </w:r>
      <w:r w:rsidR="00DB6BE0">
        <w:t xml:space="preserve"> and schools</w:t>
      </w:r>
      <w:r w:rsidR="00604766">
        <w:t xml:space="preserve">. </w:t>
      </w:r>
    </w:p>
    <w:p w14:paraId="69CBC889" w14:textId="77777777" w:rsidR="009A20EC" w:rsidRDefault="009A20EC" w:rsidP="009A20EC">
      <w:pPr>
        <w:pStyle w:val="Heading2"/>
      </w:pPr>
      <w:r>
        <w:t>Scope</w:t>
      </w:r>
    </w:p>
    <w:p w14:paraId="65CBD498" w14:textId="77777777" w:rsidR="00AD15EB" w:rsidRPr="00046600" w:rsidRDefault="00AD15EB" w:rsidP="00AD15EB">
      <w:pPr>
        <w:pStyle w:val="BodyText"/>
      </w:pPr>
      <w:r w:rsidRPr="0031090B">
        <w:t>This policy applies to</w:t>
      </w:r>
      <w:r>
        <w:t xml:space="preserve"> </w:t>
      </w:r>
      <w:r>
        <w:rPr>
          <w:b/>
        </w:rPr>
        <w:t>international students</w:t>
      </w:r>
      <w:r w:rsidRPr="00E770C4">
        <w:rPr>
          <w:b/>
        </w:rPr>
        <w:t xml:space="preserve"> participating or applying to participate in the ISP </w:t>
      </w:r>
      <w:r>
        <w:rPr>
          <w:b/>
        </w:rPr>
        <w:t>as the primary holder of</w:t>
      </w:r>
      <w:r w:rsidRPr="00E770C4">
        <w:rPr>
          <w:b/>
        </w:rPr>
        <w:t xml:space="preserve"> a subclass 500 Student – Schools visa</w:t>
      </w:r>
      <w:r w:rsidRPr="00046600">
        <w:t xml:space="preserve">. </w:t>
      </w:r>
    </w:p>
    <w:p w14:paraId="57A7B6D1" w14:textId="77777777" w:rsidR="00AD15EB" w:rsidRDefault="00AD15EB" w:rsidP="00AD15EB">
      <w:pPr>
        <w:pStyle w:val="BodyText"/>
      </w:pPr>
      <w:r>
        <w:t>This policy does not cover t</w:t>
      </w:r>
      <w:r w:rsidRPr="00884716">
        <w:t xml:space="preserve">emporary and </w:t>
      </w:r>
      <w:r>
        <w:t>d</w:t>
      </w:r>
      <w:r w:rsidRPr="00884716">
        <w:t xml:space="preserve">ependant students, who are also able to enrol in the ISP but are not the primary holders of a subclass 500 </w:t>
      </w:r>
      <w:r>
        <w:t>Student – S</w:t>
      </w:r>
      <w:r w:rsidRPr="00884716">
        <w:t>chool</w:t>
      </w:r>
      <w:r>
        <w:t xml:space="preserve">s </w:t>
      </w:r>
      <w:r w:rsidRPr="00884716">
        <w:t xml:space="preserve">visa. This policy </w:t>
      </w:r>
      <w:r>
        <w:t xml:space="preserve">also </w:t>
      </w:r>
      <w:r w:rsidRPr="00884716">
        <w:t>does not apply to fee exempt students</w:t>
      </w:r>
      <w:r>
        <w:t>, who enrol directly through schools</w:t>
      </w:r>
      <w:r w:rsidRPr="00884716">
        <w:t>.</w:t>
      </w:r>
    </w:p>
    <w:p w14:paraId="56A2DB1A" w14:textId="77777777" w:rsidR="0031090B" w:rsidRDefault="00531486" w:rsidP="0031090B">
      <w:pPr>
        <w:pStyle w:val="Heading2"/>
      </w:pPr>
      <w:r>
        <w:t>Applications</w:t>
      </w:r>
      <w:r w:rsidR="0031090B">
        <w:t xml:space="preserve"> </w:t>
      </w:r>
      <w:r>
        <w:t xml:space="preserve">for enrolment in </w:t>
      </w:r>
      <w:r w:rsidR="0031090B">
        <w:t>the ISP</w:t>
      </w:r>
    </w:p>
    <w:p w14:paraId="40BC52D1" w14:textId="040DB939" w:rsidR="00604766" w:rsidRDefault="00604766" w:rsidP="008D08EA">
      <w:pPr>
        <w:pStyle w:val="BodyText"/>
      </w:pPr>
      <w:r>
        <w:t xml:space="preserve">DE (IED) assesses applications to ensure that ISP students </w:t>
      </w:r>
      <w:r w:rsidR="00F039AB">
        <w:t xml:space="preserve">seeking to enrol in a Victorian government school </w:t>
      </w:r>
      <w:r>
        <w:t xml:space="preserve">have sufficient English language proficiency and </w:t>
      </w:r>
      <w:r w:rsidR="00465E19">
        <w:t xml:space="preserve">general academic ability </w:t>
      </w:r>
      <w:r>
        <w:t>to succeed</w:t>
      </w:r>
      <w:r w:rsidR="003D2AB2">
        <w:t xml:space="preserve"> in</w:t>
      </w:r>
      <w:r>
        <w:t xml:space="preserve"> </w:t>
      </w:r>
      <w:r w:rsidR="00F039AB">
        <w:t xml:space="preserve">their </w:t>
      </w:r>
      <w:r>
        <w:t>course</w:t>
      </w:r>
      <w:r w:rsidR="00F039AB">
        <w:t xml:space="preserve"> of study</w:t>
      </w:r>
      <w:r>
        <w:t xml:space="preserve">, and to </w:t>
      </w:r>
      <w:r w:rsidR="00F039AB">
        <w:t xml:space="preserve">enable DE (IED) to </w:t>
      </w:r>
      <w:r>
        <w:t>comply with all relevant stat</w:t>
      </w:r>
      <w:r w:rsidR="009F475A">
        <w:t>e and Commonwealth legislation.</w:t>
      </w:r>
    </w:p>
    <w:p w14:paraId="13C20055" w14:textId="70E0066D" w:rsidR="009F475A" w:rsidRDefault="00927B1B" w:rsidP="008D08EA">
      <w:pPr>
        <w:pStyle w:val="BodyText"/>
      </w:pPr>
      <w:r>
        <w:t xml:space="preserve">Please note the following points when </w:t>
      </w:r>
      <w:proofErr w:type="gramStart"/>
      <w:r w:rsidR="00702D22">
        <w:t>submitting an application</w:t>
      </w:r>
      <w:proofErr w:type="gramEnd"/>
      <w:r>
        <w:t>:</w:t>
      </w:r>
    </w:p>
    <w:p w14:paraId="107727FE" w14:textId="2DA7EB9D" w:rsidR="00B03588" w:rsidRPr="00810C35" w:rsidRDefault="00D16783" w:rsidP="00B03588">
      <w:pPr>
        <w:pStyle w:val="ListBullet"/>
      </w:pPr>
      <w:r>
        <w:t>T</w:t>
      </w:r>
      <w:r w:rsidR="00B03588" w:rsidRPr="00810C35">
        <w:t xml:space="preserve">he application will be processed once all relevant </w:t>
      </w:r>
      <w:r w:rsidR="00B03588">
        <w:t>information has been collected and</w:t>
      </w:r>
      <w:r w:rsidR="00B03588" w:rsidRPr="00810C35">
        <w:t xml:space="preserve"> all requested documentation is attached</w:t>
      </w:r>
      <w:r w:rsidR="00C77C25">
        <w:t>.</w:t>
      </w:r>
    </w:p>
    <w:p w14:paraId="68DB9D18" w14:textId="1E06BDEE" w:rsidR="00B03588" w:rsidRPr="00B03588" w:rsidRDefault="00D16783" w:rsidP="00B03588">
      <w:pPr>
        <w:pStyle w:val="ListBullet"/>
      </w:pPr>
      <w:r>
        <w:t>T</w:t>
      </w:r>
      <w:r w:rsidR="00B03588" w:rsidRPr="005B1354">
        <w:t>he student’s parent</w:t>
      </w:r>
      <w:r w:rsidR="00B03588">
        <w:t>(</w:t>
      </w:r>
      <w:r w:rsidR="00B03588" w:rsidRPr="005B1354">
        <w:t>s</w:t>
      </w:r>
      <w:r w:rsidR="00B03588">
        <w:t>) or legal</w:t>
      </w:r>
      <w:r w:rsidR="00B03588" w:rsidRPr="005B1354">
        <w:t xml:space="preserve"> </w:t>
      </w:r>
      <w:r w:rsidR="00B03588">
        <w:t xml:space="preserve">guardian(s) </w:t>
      </w:r>
      <w:r w:rsidR="00B03588" w:rsidRPr="00A436AD">
        <w:t>or parent-appointed agent must</w:t>
      </w:r>
      <w:r w:rsidR="00B03588" w:rsidRPr="005B1354">
        <w:t xml:space="preserve"> </w:t>
      </w:r>
      <w:r w:rsidR="00B03588">
        <w:t xml:space="preserve">accept Terms and Conditions as part of </w:t>
      </w:r>
      <w:r w:rsidR="00816CC0">
        <w:t xml:space="preserve">the </w:t>
      </w:r>
      <w:r w:rsidR="00B03588">
        <w:t>application process</w:t>
      </w:r>
      <w:r w:rsidR="00C77C25">
        <w:t>.</w:t>
      </w:r>
    </w:p>
    <w:p w14:paraId="528C5504" w14:textId="19FE2076" w:rsidR="0031090B" w:rsidRDefault="00D16783" w:rsidP="0092151B">
      <w:pPr>
        <w:pStyle w:val="ListBullet"/>
      </w:pPr>
      <w:r>
        <w:t>A</w:t>
      </w:r>
      <w:r w:rsidR="00211924" w:rsidRPr="005B1354">
        <w:t>p</w:t>
      </w:r>
      <w:r w:rsidR="005B1354" w:rsidRPr="005B1354">
        <w:t xml:space="preserve">plications must be submitted in accordance with the </w:t>
      </w:r>
      <w:r>
        <w:t>application submission dates</w:t>
      </w:r>
      <w:r w:rsidRPr="005B1354">
        <w:t xml:space="preserve"> </w:t>
      </w:r>
      <w:r w:rsidR="005B1354" w:rsidRPr="005B1354">
        <w:t>stated on</w:t>
      </w:r>
      <w:r w:rsidR="003A762A">
        <w:t xml:space="preserve"> the </w:t>
      </w:r>
      <w:hyperlink r:id="rId13" w:history="1">
        <w:r w:rsidR="003A762A" w:rsidRPr="003A762A">
          <w:rPr>
            <w:rStyle w:val="Hyperlink"/>
          </w:rPr>
          <w:t>ISP website</w:t>
        </w:r>
      </w:hyperlink>
      <w:r w:rsidR="003A762A">
        <w:t>.</w:t>
      </w:r>
    </w:p>
    <w:p w14:paraId="6CA66ED0" w14:textId="04D5A0E6" w:rsidR="00892E3F" w:rsidRDefault="00D16783" w:rsidP="00810C35">
      <w:pPr>
        <w:pStyle w:val="ListBullet"/>
      </w:pPr>
      <w:r>
        <w:t>S</w:t>
      </w:r>
      <w:r w:rsidR="00892E3F">
        <w:t>tudents must meet the eligibility requirements outlined in this policy,</w:t>
      </w:r>
      <w:r w:rsidR="00A436AD">
        <w:t xml:space="preserve"> prior to being </w:t>
      </w:r>
      <w:r w:rsidR="0070712B">
        <w:t xml:space="preserve">successfully </w:t>
      </w:r>
      <w:r w:rsidR="00892E3F">
        <w:t>placed in an ISP</w:t>
      </w:r>
      <w:r w:rsidR="0084653B">
        <w:t>-accredited</w:t>
      </w:r>
      <w:r w:rsidR="0070712B">
        <w:t xml:space="preserve"> </w:t>
      </w:r>
      <w:r w:rsidR="00CF2389">
        <w:t>school</w:t>
      </w:r>
      <w:r w:rsidR="00F85D06">
        <w:t>.</w:t>
      </w:r>
    </w:p>
    <w:p w14:paraId="25FD5352" w14:textId="3F18C240" w:rsidR="00F21207" w:rsidRDefault="00D16783" w:rsidP="00810C35">
      <w:pPr>
        <w:pStyle w:val="ListBullet"/>
      </w:pPr>
      <w:r>
        <w:t>O</w:t>
      </w:r>
      <w:r w:rsidR="00F23A0F">
        <w:t xml:space="preserve">nly </w:t>
      </w:r>
      <w:r w:rsidR="00F21207">
        <w:t xml:space="preserve">DE (IED) </w:t>
      </w:r>
      <w:r>
        <w:t xml:space="preserve">can </w:t>
      </w:r>
      <w:r w:rsidR="00F21207">
        <w:t xml:space="preserve">offer eligible </w:t>
      </w:r>
      <w:r w:rsidR="00F21207" w:rsidRPr="0031090B">
        <w:t xml:space="preserve">students </w:t>
      </w:r>
      <w:r w:rsidR="00F21207">
        <w:t xml:space="preserve">a place </w:t>
      </w:r>
      <w:r w:rsidR="00F21207" w:rsidRPr="0031090B">
        <w:t xml:space="preserve">in </w:t>
      </w:r>
      <w:r w:rsidR="00C77C25">
        <w:t>a</w:t>
      </w:r>
      <w:r w:rsidR="00F21207" w:rsidRPr="0031090B">
        <w:t xml:space="preserve"> Victorian government school</w:t>
      </w:r>
      <w:r w:rsidR="00C77C25">
        <w:t xml:space="preserve"> accredited to accept fee-paying international students</w:t>
      </w:r>
      <w:r w:rsidR="00465E19">
        <w:t xml:space="preserve"> in line with this policy and related procedure. </w:t>
      </w:r>
    </w:p>
    <w:p w14:paraId="47F62523" w14:textId="261219F8" w:rsidR="0031090B" w:rsidRDefault="00D16783" w:rsidP="00810C35">
      <w:pPr>
        <w:pStyle w:val="ListBullet"/>
      </w:pPr>
      <w:r>
        <w:t>T</w:t>
      </w:r>
      <w:r w:rsidR="0031090B">
        <w:t>o be enrolled,</w:t>
      </w:r>
      <w:r w:rsidR="00702D22">
        <w:t xml:space="preserve"> the student’s</w:t>
      </w:r>
      <w:r w:rsidR="0031090B">
        <w:t xml:space="preserve"> </w:t>
      </w:r>
      <w:r w:rsidR="00E761DC" w:rsidRPr="005B1354">
        <w:t>parent</w:t>
      </w:r>
      <w:r w:rsidR="00E761DC">
        <w:t>(</w:t>
      </w:r>
      <w:r w:rsidR="00E761DC" w:rsidRPr="005B1354">
        <w:t>s</w:t>
      </w:r>
      <w:r w:rsidR="00E761DC">
        <w:t>) or legal</w:t>
      </w:r>
      <w:r w:rsidR="00E761DC" w:rsidRPr="005B1354">
        <w:t xml:space="preserve"> </w:t>
      </w:r>
      <w:r w:rsidR="00E761DC">
        <w:t xml:space="preserve">guardian(s) </w:t>
      </w:r>
      <w:r w:rsidR="00A771D6">
        <w:t>and students (if over 18 years old)</w:t>
      </w:r>
      <w:r w:rsidR="0031090B">
        <w:t xml:space="preserve"> mus</w:t>
      </w:r>
      <w:r w:rsidR="00EA36B0">
        <w:t>t accept the Letter of Offer by:</w:t>
      </w:r>
    </w:p>
    <w:p w14:paraId="48FB880E" w14:textId="128A457D" w:rsidR="0031090B" w:rsidRPr="00810C35" w:rsidRDefault="00C624F6" w:rsidP="00810C35">
      <w:pPr>
        <w:pStyle w:val="ListBullet2"/>
      </w:pPr>
      <w:r>
        <w:t>r</w:t>
      </w:r>
      <w:r w:rsidR="0031090B" w:rsidRPr="00810C35">
        <w:t>eading, signing and returning a copy of the Written Agreement</w:t>
      </w:r>
      <w:r w:rsidR="00D923DC" w:rsidRPr="00810C35">
        <w:t xml:space="preserve"> (</w:t>
      </w:r>
      <w:r w:rsidR="00D923DC" w:rsidRPr="00973063">
        <w:t xml:space="preserve">including the </w:t>
      </w:r>
      <w:r w:rsidRPr="00973063">
        <w:t>t</w:t>
      </w:r>
      <w:r w:rsidR="00D923DC" w:rsidRPr="00973063">
        <w:t xml:space="preserve">erms, </w:t>
      </w:r>
      <w:r w:rsidRPr="00973063">
        <w:t>c</w:t>
      </w:r>
      <w:r w:rsidR="00D923DC" w:rsidRPr="00973063">
        <w:t xml:space="preserve">onditions and </w:t>
      </w:r>
      <w:r w:rsidRPr="00973063">
        <w:t>p</w:t>
      </w:r>
      <w:r w:rsidR="00D923DC" w:rsidRPr="00973063">
        <w:t>olicies)</w:t>
      </w:r>
      <w:r w:rsidR="00F85D06">
        <w:t>.</w:t>
      </w:r>
    </w:p>
    <w:p w14:paraId="749F60D7" w14:textId="5D988D26" w:rsidR="0031090B" w:rsidRPr="00810C35" w:rsidRDefault="00C624F6" w:rsidP="00810C35">
      <w:pPr>
        <w:pStyle w:val="ListBullet2"/>
      </w:pPr>
      <w:r>
        <w:t>p</w:t>
      </w:r>
      <w:r w:rsidR="0031090B" w:rsidRPr="00810C35">
        <w:t>ay</w:t>
      </w:r>
      <w:r w:rsidR="009F475A" w:rsidRPr="00810C35">
        <w:t>ing</w:t>
      </w:r>
      <w:r w:rsidR="0031090B" w:rsidRPr="00810C35">
        <w:t xml:space="preserve"> the</w:t>
      </w:r>
      <w:r w:rsidR="0027508F" w:rsidRPr="00810C35">
        <w:t xml:space="preserve"> </w:t>
      </w:r>
      <w:r w:rsidR="00791183" w:rsidRPr="00810C35">
        <w:t xml:space="preserve">required </w:t>
      </w:r>
      <w:r w:rsidR="00C77C25">
        <w:t>fees as stated</w:t>
      </w:r>
      <w:r w:rsidR="0031090B" w:rsidRPr="00810C35">
        <w:t xml:space="preserve"> on the </w:t>
      </w:r>
      <w:r w:rsidR="00C77C25">
        <w:t>payment</w:t>
      </w:r>
      <w:r w:rsidR="0031090B" w:rsidRPr="00810C35">
        <w:t xml:space="preserve"> in</w:t>
      </w:r>
      <w:r w:rsidR="009F475A" w:rsidRPr="00810C35">
        <w:t>voice</w:t>
      </w:r>
      <w:r w:rsidR="00C77C25">
        <w:t xml:space="preserve"> that will be issued</w:t>
      </w:r>
      <w:r w:rsidR="00F85D06">
        <w:t>.</w:t>
      </w:r>
    </w:p>
    <w:p w14:paraId="1A77540C" w14:textId="21DE7A49" w:rsidR="00921C66" w:rsidRPr="006F5567" w:rsidRDefault="006F5567" w:rsidP="006F5567">
      <w:pPr>
        <w:pStyle w:val="ListBullet"/>
        <w:numPr>
          <w:ilvl w:val="0"/>
          <w:numId w:val="0"/>
        </w:numPr>
        <w:ind w:left="340"/>
      </w:pPr>
      <w:r>
        <w:t>Note</w:t>
      </w:r>
      <w:r w:rsidR="00921C66" w:rsidRPr="006F5567">
        <w:t xml:space="preserve">: the Written Agreement cannot be signed or accepted on behalf of the student or their </w:t>
      </w:r>
      <w:r w:rsidR="00E761DC" w:rsidRPr="006F5567">
        <w:t xml:space="preserve">parent(s) or legal guardian(s) </w:t>
      </w:r>
      <w:r w:rsidR="00921C66" w:rsidRPr="006F5567">
        <w:t xml:space="preserve">by an </w:t>
      </w:r>
      <w:r w:rsidR="00E57CD5" w:rsidRPr="006F5567">
        <w:t xml:space="preserve">education </w:t>
      </w:r>
      <w:r w:rsidR="00E736AD" w:rsidRPr="006F5567">
        <w:t>a</w:t>
      </w:r>
      <w:r w:rsidR="00CF2389" w:rsidRPr="006F5567">
        <w:t>gent</w:t>
      </w:r>
      <w:r w:rsidR="007E506D">
        <w:t>.</w:t>
      </w:r>
    </w:p>
    <w:p w14:paraId="21531D8E" w14:textId="406BC23F" w:rsidR="0031090B" w:rsidRDefault="0031090B" w:rsidP="00810C35">
      <w:pPr>
        <w:pStyle w:val="ListBullet"/>
      </w:pPr>
      <w:r>
        <w:t>DE (IED) will not issue an in</w:t>
      </w:r>
      <w:r w:rsidR="00130661">
        <w:t xml:space="preserve">voice for </w:t>
      </w:r>
      <w:r w:rsidR="00791183">
        <w:t xml:space="preserve">the required </w:t>
      </w:r>
      <w:r w:rsidR="00130661">
        <w:t>fees until the</w:t>
      </w:r>
      <w:r>
        <w:t xml:space="preserve"> signed Written Agreement</w:t>
      </w:r>
      <w:r w:rsidR="00130661">
        <w:t xml:space="preserve"> has been returned to DE (IED)</w:t>
      </w:r>
      <w:r w:rsidR="00F85D06">
        <w:t>.</w:t>
      </w:r>
    </w:p>
    <w:p w14:paraId="035F773A" w14:textId="0107C3C1" w:rsidR="00F23A0F" w:rsidRDefault="00D16783" w:rsidP="00810C35">
      <w:pPr>
        <w:pStyle w:val="ListBullet"/>
      </w:pPr>
      <w:r>
        <w:t>S</w:t>
      </w:r>
      <w:r w:rsidR="00D923DC">
        <w:t xml:space="preserve">tudents must also meet </w:t>
      </w:r>
      <w:r w:rsidR="00F23A0F">
        <w:t xml:space="preserve">requirements set out in this policy </w:t>
      </w:r>
      <w:r w:rsidR="00D923DC">
        <w:t xml:space="preserve">related to </w:t>
      </w:r>
      <w:r w:rsidR="00E736AD">
        <w:t>overseas student health cover (OSHC)</w:t>
      </w:r>
      <w:r w:rsidR="00CF2389">
        <w:t xml:space="preserve"> and accommodation and welfare</w:t>
      </w:r>
      <w:r w:rsidR="00F85D06">
        <w:t>.</w:t>
      </w:r>
    </w:p>
    <w:p w14:paraId="5B57C762" w14:textId="6878C5A2" w:rsidR="00F21207" w:rsidRDefault="00D16783" w:rsidP="00810C35">
      <w:pPr>
        <w:pStyle w:val="ListBullet"/>
      </w:pPr>
      <w:r>
        <w:t>T</w:t>
      </w:r>
      <w:r w:rsidR="00F21207" w:rsidRPr="009F475A">
        <w:t xml:space="preserve">he student’s enrolment in the ISP is confirmed </w:t>
      </w:r>
      <w:r w:rsidR="00F85D06">
        <w:t>when</w:t>
      </w:r>
      <w:r w:rsidR="00F21207" w:rsidRPr="009F475A">
        <w:t xml:space="preserve"> the Confirmation of Enrolment (CoE) has been issued to the student</w:t>
      </w:r>
      <w:r>
        <w:t xml:space="preserve">, </w:t>
      </w:r>
      <w:r w:rsidR="00E761DC">
        <w:t xml:space="preserve">their </w:t>
      </w:r>
      <w:r w:rsidR="00E761DC" w:rsidRPr="005B1354">
        <w:t>parent</w:t>
      </w:r>
      <w:r w:rsidR="00E761DC">
        <w:t>(</w:t>
      </w:r>
      <w:r w:rsidR="00E761DC" w:rsidRPr="005B1354">
        <w:t>s</w:t>
      </w:r>
      <w:r w:rsidR="00E761DC">
        <w:t>) or legal</w:t>
      </w:r>
      <w:r w:rsidR="00E761DC" w:rsidRPr="005B1354">
        <w:t xml:space="preserve"> </w:t>
      </w:r>
      <w:r w:rsidR="00E761DC">
        <w:t>guardian(s)</w:t>
      </w:r>
      <w:r>
        <w:t xml:space="preserve"> and the school</w:t>
      </w:r>
      <w:r w:rsidR="00F21207" w:rsidRPr="009F475A">
        <w:t>.</w:t>
      </w:r>
    </w:p>
    <w:p w14:paraId="47447818" w14:textId="08902C9E" w:rsidR="00D923DC" w:rsidRDefault="00D923DC" w:rsidP="008D08EA">
      <w:pPr>
        <w:pStyle w:val="BodyText"/>
      </w:pPr>
      <w:r w:rsidRPr="003C0CE6">
        <w:t xml:space="preserve">Please </w:t>
      </w:r>
      <w:r w:rsidR="00CD32F9">
        <w:t>refer to</w:t>
      </w:r>
      <w:r w:rsidR="00CD32F9" w:rsidRPr="003C0CE6">
        <w:t xml:space="preserve"> </w:t>
      </w:r>
      <w:r w:rsidRPr="003C0CE6">
        <w:t xml:space="preserve">the </w:t>
      </w:r>
      <w:hyperlink r:id="rId14" w:history="1">
        <w:r w:rsidRPr="00F40C30">
          <w:rPr>
            <w:rStyle w:val="Hyperlink"/>
          </w:rPr>
          <w:t>ISP Admissions and Enrolment Procedure</w:t>
        </w:r>
      </w:hyperlink>
      <w:r w:rsidRPr="003C0CE6">
        <w:t xml:space="preserve"> </w:t>
      </w:r>
      <w:r w:rsidR="00046600">
        <w:t xml:space="preserve">for </w:t>
      </w:r>
      <w:r>
        <w:t>more detailed information</w:t>
      </w:r>
      <w:r w:rsidR="00F23A0F">
        <w:t xml:space="preserve"> on the application process</w:t>
      </w:r>
      <w:r>
        <w:t>.</w:t>
      </w:r>
    </w:p>
    <w:p w14:paraId="17EE46A9" w14:textId="77777777" w:rsidR="003A762A" w:rsidRDefault="00E163BE" w:rsidP="008D08EA">
      <w:pPr>
        <w:pStyle w:val="BodyText"/>
      </w:pPr>
      <w:r w:rsidRPr="00A371B8">
        <w:t xml:space="preserve">DE (IED) will make every effort to obtain the necessary information from the student or </w:t>
      </w:r>
      <w:r w:rsidR="008A6433">
        <w:t xml:space="preserve">their </w:t>
      </w:r>
      <w:r w:rsidR="008A6433" w:rsidRPr="005B1354">
        <w:t>parent</w:t>
      </w:r>
      <w:r w:rsidR="008A6433">
        <w:t>(</w:t>
      </w:r>
      <w:r w:rsidR="008A6433" w:rsidRPr="005B1354">
        <w:t>s</w:t>
      </w:r>
      <w:r w:rsidR="008A6433">
        <w:t>) or legal</w:t>
      </w:r>
      <w:r w:rsidR="008A6433" w:rsidRPr="005B1354">
        <w:t xml:space="preserve"> </w:t>
      </w:r>
      <w:r w:rsidR="008A6433">
        <w:t xml:space="preserve">guardian(s) </w:t>
      </w:r>
      <w:r w:rsidRPr="00A371B8">
        <w:t xml:space="preserve">to allow for the ISP application to be processed and assessed. </w:t>
      </w:r>
      <w:r w:rsidR="00287308">
        <w:t>DE (IED) has the right to reject an application at any stage of the enrolment process if there is reasonable belief that the student cannot meet the requirements of their student visa</w:t>
      </w:r>
      <w:r w:rsidR="009F475A">
        <w:t xml:space="preserve"> or elig</w:t>
      </w:r>
      <w:r w:rsidR="00F85D06">
        <w:t>i</w:t>
      </w:r>
      <w:r w:rsidR="009F475A">
        <w:t>bility requirements</w:t>
      </w:r>
      <w:r w:rsidR="00287308">
        <w:t>.</w:t>
      </w:r>
      <w:r>
        <w:t xml:space="preserve"> </w:t>
      </w:r>
    </w:p>
    <w:p w14:paraId="2DA5DB40" w14:textId="6D23F802" w:rsidR="00E163BE" w:rsidRDefault="00E163BE" w:rsidP="008D08EA">
      <w:pPr>
        <w:pStyle w:val="BodyText"/>
      </w:pPr>
      <w:r w:rsidRPr="00A371B8">
        <w:lastRenderedPageBreak/>
        <w:t xml:space="preserve">DE (IED) has the right to withdraw a student’s ISP application if the necessary supporting documentation has not been provided within </w:t>
      </w:r>
      <w:r w:rsidR="00E736AD">
        <w:t xml:space="preserve">the </w:t>
      </w:r>
      <w:r w:rsidRPr="00A371B8">
        <w:t>requested timeframes.</w:t>
      </w:r>
      <w:r>
        <w:t xml:space="preserve"> </w:t>
      </w:r>
    </w:p>
    <w:p w14:paraId="309A243A" w14:textId="7D258C0B" w:rsidR="00287308" w:rsidRDefault="00287308" w:rsidP="008D08EA">
      <w:pPr>
        <w:pStyle w:val="BodyText"/>
      </w:pPr>
      <w:r>
        <w:t xml:space="preserve">Students and </w:t>
      </w:r>
      <w:r w:rsidR="00E761DC">
        <w:t xml:space="preserve">their </w:t>
      </w:r>
      <w:r w:rsidR="00E761DC" w:rsidRPr="005B1354">
        <w:t>parent</w:t>
      </w:r>
      <w:r w:rsidR="00E761DC">
        <w:t>(</w:t>
      </w:r>
      <w:r w:rsidR="00E761DC" w:rsidRPr="005B1354">
        <w:t>s</w:t>
      </w:r>
      <w:r w:rsidR="00E761DC">
        <w:t>) or legal</w:t>
      </w:r>
      <w:r w:rsidR="00E761DC" w:rsidRPr="005B1354">
        <w:t xml:space="preserve"> </w:t>
      </w:r>
      <w:r w:rsidR="00E761DC">
        <w:t xml:space="preserve">guardian(s) </w:t>
      </w:r>
      <w:r>
        <w:t xml:space="preserve">have the right to withdraw their ISP application at any time. </w:t>
      </w:r>
    </w:p>
    <w:p w14:paraId="246C9D1D" w14:textId="57AD2716" w:rsidR="00892E3F" w:rsidRDefault="00791183" w:rsidP="008D08EA">
      <w:pPr>
        <w:pStyle w:val="BodyText"/>
      </w:pPr>
      <w:r>
        <w:t xml:space="preserve">At the request of </w:t>
      </w:r>
      <w:r w:rsidR="009E7FB0" w:rsidRPr="005B1354">
        <w:t>parent</w:t>
      </w:r>
      <w:r w:rsidR="009E7FB0">
        <w:t>(</w:t>
      </w:r>
      <w:r w:rsidR="009E7FB0" w:rsidRPr="005B1354">
        <w:t>s</w:t>
      </w:r>
      <w:r w:rsidR="009E7FB0">
        <w:t>) or legal</w:t>
      </w:r>
      <w:r w:rsidR="009E7FB0" w:rsidRPr="005B1354">
        <w:t xml:space="preserve"> </w:t>
      </w:r>
      <w:r w:rsidR="009E7FB0">
        <w:t>guardian(s)</w:t>
      </w:r>
      <w:r>
        <w:t>, i</w:t>
      </w:r>
      <w:r w:rsidR="00892E3F">
        <w:t xml:space="preserve">f the nominated correspondent is an </w:t>
      </w:r>
      <w:r w:rsidR="00557377">
        <w:t>e</w:t>
      </w:r>
      <w:r w:rsidR="00892E3F">
        <w:t xml:space="preserve">ducation </w:t>
      </w:r>
      <w:r w:rsidR="00557377">
        <w:t>a</w:t>
      </w:r>
      <w:r w:rsidR="00892E3F">
        <w:t xml:space="preserve">gent, all correspondence </w:t>
      </w:r>
      <w:r w:rsidR="00892E3F" w:rsidRPr="00622791">
        <w:t xml:space="preserve">regarding a student’s application to the ISP will be sent through the </w:t>
      </w:r>
      <w:r w:rsidR="00557377" w:rsidRPr="00622791">
        <w:t>e</w:t>
      </w:r>
      <w:r w:rsidR="00892E3F" w:rsidRPr="00622791">
        <w:t xml:space="preserve">ducation </w:t>
      </w:r>
      <w:r w:rsidR="00557377" w:rsidRPr="00622791">
        <w:t>a</w:t>
      </w:r>
      <w:r w:rsidR="00892E3F" w:rsidRPr="00622791">
        <w:t>gent</w:t>
      </w:r>
      <w:r w:rsidR="000B27A8" w:rsidRPr="00622791">
        <w:t xml:space="preserve">, </w:t>
      </w:r>
      <w:r w:rsidR="00C72F45" w:rsidRPr="00622791">
        <w:t xml:space="preserve">with </w:t>
      </w:r>
      <w:r w:rsidR="00634088">
        <w:t>the</w:t>
      </w:r>
      <w:r w:rsidR="00634088" w:rsidRPr="00622791">
        <w:t xml:space="preserve"> </w:t>
      </w:r>
      <w:r w:rsidR="00C72F45" w:rsidRPr="00622791">
        <w:t>exception of the invoice</w:t>
      </w:r>
      <w:r w:rsidR="00F85D06">
        <w:t xml:space="preserve"> for fee payment</w:t>
      </w:r>
      <w:r w:rsidR="00C72F45" w:rsidRPr="00622791">
        <w:t>, which will be sent directly to the family</w:t>
      </w:r>
      <w:r w:rsidR="007B3A6D">
        <w:t>.</w:t>
      </w:r>
      <w:r w:rsidR="00892E3F">
        <w:t xml:space="preserve"> Please refer to the </w:t>
      </w:r>
      <w:hyperlink r:id="rId15" w:history="1">
        <w:r w:rsidR="003D2AB2" w:rsidRPr="003D2AB2">
          <w:rPr>
            <w:rStyle w:val="Hyperlink"/>
          </w:rPr>
          <w:t xml:space="preserve">ISP </w:t>
        </w:r>
        <w:r w:rsidR="00892E3F" w:rsidRPr="003D2AB2">
          <w:rPr>
            <w:rStyle w:val="Hyperlink"/>
          </w:rPr>
          <w:t xml:space="preserve">Education Agent </w:t>
        </w:r>
        <w:r w:rsidR="003D2AB2" w:rsidRPr="003D2AB2">
          <w:rPr>
            <w:rStyle w:val="Hyperlink"/>
          </w:rPr>
          <w:t xml:space="preserve">Engagement </w:t>
        </w:r>
        <w:r w:rsidRPr="003D2AB2">
          <w:rPr>
            <w:rStyle w:val="Hyperlink"/>
          </w:rPr>
          <w:t>P</w:t>
        </w:r>
        <w:r w:rsidR="00892E3F" w:rsidRPr="003D2AB2">
          <w:rPr>
            <w:rStyle w:val="Hyperlink"/>
          </w:rPr>
          <w:t>olicy</w:t>
        </w:r>
      </w:hyperlink>
      <w:r w:rsidR="00892E3F">
        <w:t xml:space="preserve"> for further information.</w:t>
      </w:r>
    </w:p>
    <w:p w14:paraId="09A7427C" w14:textId="741A64CE" w:rsidR="00B03588" w:rsidRPr="00B03588" w:rsidRDefault="00B03588" w:rsidP="008D08EA">
      <w:pPr>
        <w:pStyle w:val="BodyText"/>
      </w:pPr>
      <w:r w:rsidRPr="008D08EA">
        <w:t xml:space="preserve">International students progressing from Year 6 to Year 7 </w:t>
      </w:r>
      <w:r>
        <w:t>are not required to</w:t>
      </w:r>
      <w:r w:rsidRPr="008D08EA">
        <w:t xml:space="preserve"> submit a new application to be enrolled in Year 7</w:t>
      </w:r>
      <w:r>
        <w:t>, but will be required to obtain a new Confirmation of Enrolment.</w:t>
      </w:r>
    </w:p>
    <w:p w14:paraId="7AC4FEDB" w14:textId="5E54C0B0" w:rsidR="00F23A0F" w:rsidRDefault="00F23A0F" w:rsidP="008D08EA">
      <w:pPr>
        <w:pStyle w:val="BodyText"/>
      </w:pPr>
      <w:r>
        <w:t>Schools should notify DE (IED) as soon as possible if they have any concerns about the reliability of the information provided as part of a student’s application.</w:t>
      </w:r>
    </w:p>
    <w:p w14:paraId="66AC6970" w14:textId="51D7C30B" w:rsidR="00BD0C03" w:rsidRDefault="006074CA" w:rsidP="00FA5D69">
      <w:pPr>
        <w:pStyle w:val="Heading2"/>
        <w:numPr>
          <w:ilvl w:val="0"/>
          <w:numId w:val="0"/>
        </w:numPr>
      </w:pPr>
      <w:r>
        <w:t>Student eligibility</w:t>
      </w:r>
      <w:r w:rsidR="009F475A">
        <w:t xml:space="preserve"> – Primary (Pre</w:t>
      </w:r>
      <w:r w:rsidR="00F23A0F">
        <w:t>p</w:t>
      </w:r>
      <w:r w:rsidR="009F475A">
        <w:t xml:space="preserve"> to Year 6) – CRICOS </w:t>
      </w:r>
      <w:r w:rsidR="00810C35">
        <w:t xml:space="preserve">course code </w:t>
      </w:r>
      <w:r w:rsidR="009F475A">
        <w:t>019047G</w:t>
      </w:r>
    </w:p>
    <w:p w14:paraId="7F55D95B" w14:textId="77777777" w:rsidR="00B65052" w:rsidRDefault="00B65052" w:rsidP="00B65052">
      <w:pPr>
        <w:pStyle w:val="Heading3"/>
      </w:pPr>
      <w:r>
        <w:t>Age requirements</w:t>
      </w:r>
    </w:p>
    <w:p w14:paraId="1B8078F0" w14:textId="538130C6" w:rsidR="00EA36B0" w:rsidRDefault="00EA36B0" w:rsidP="008D08EA">
      <w:pPr>
        <w:pStyle w:val="BodyText"/>
      </w:pPr>
      <w:r>
        <w:t>As set out by the Department of Home Affairs</w:t>
      </w:r>
      <w:r w:rsidR="00B03CBB">
        <w:t xml:space="preserve"> (DHA)</w:t>
      </w:r>
      <w:r>
        <w:t>, students must be at least six years old at the time of visa application.</w:t>
      </w:r>
    </w:p>
    <w:p w14:paraId="2AAC52D9" w14:textId="508AFE4B" w:rsidR="00032ADB" w:rsidRDefault="00791183" w:rsidP="008D08EA">
      <w:pPr>
        <w:pStyle w:val="BodyText"/>
      </w:pPr>
      <w:r>
        <w:t>Additionally, as a DE requirement, a</w:t>
      </w:r>
      <w:r w:rsidR="00B65052">
        <w:t xml:space="preserve">ll school students must be of an appropriate age for the entry level </w:t>
      </w:r>
      <w:r w:rsidR="00B96B34">
        <w:t xml:space="preserve">of </w:t>
      </w:r>
      <w:r w:rsidR="00B65052">
        <w:t xml:space="preserve">their school course, regardless of their country of citizenship. </w:t>
      </w:r>
      <w:r w:rsidR="00032ADB">
        <w:t xml:space="preserve">The table below outlines the age requirements for primary school students. </w:t>
      </w:r>
    </w:p>
    <w:tbl>
      <w:tblPr>
        <w:tblStyle w:val="TableGrid"/>
        <w:tblW w:w="5000" w:type="pct"/>
        <w:tblLook w:val="04A0" w:firstRow="1" w:lastRow="0" w:firstColumn="1" w:lastColumn="0" w:noHBand="0" w:noVBand="1"/>
      </w:tblPr>
      <w:tblGrid>
        <w:gridCol w:w="1837"/>
        <w:gridCol w:w="1231"/>
        <w:gridCol w:w="1231"/>
        <w:gridCol w:w="1231"/>
        <w:gridCol w:w="1231"/>
        <w:gridCol w:w="1231"/>
        <w:gridCol w:w="1231"/>
        <w:gridCol w:w="1227"/>
      </w:tblGrid>
      <w:tr w:rsidR="00A734D7" w:rsidRPr="00437D5A" w14:paraId="3C45E9D6" w14:textId="77777777" w:rsidTr="007D3D3D">
        <w:trPr>
          <w:trHeight w:val="163"/>
        </w:trPr>
        <w:tc>
          <w:tcPr>
            <w:tcW w:w="879" w:type="pct"/>
            <w:tcBorders>
              <w:left w:val="single" w:sz="4" w:space="0" w:color="FFFFFF" w:themeColor="background1"/>
              <w:right w:val="single" w:sz="4" w:space="0" w:color="FFFFFF" w:themeColor="background1"/>
            </w:tcBorders>
            <w:shd w:val="clear" w:color="auto" w:fill="100249"/>
            <w:vAlign w:val="center"/>
          </w:tcPr>
          <w:p w14:paraId="2FF3297F" w14:textId="77777777" w:rsidR="00A734D7" w:rsidRPr="00437D5A" w:rsidRDefault="00A734D7" w:rsidP="00FA5D69">
            <w:pPr>
              <w:pStyle w:val="TableHeader1"/>
            </w:pPr>
          </w:p>
        </w:tc>
        <w:tc>
          <w:tcPr>
            <w:tcW w:w="589" w:type="pct"/>
            <w:tcBorders>
              <w:left w:val="single" w:sz="4" w:space="0" w:color="FFFFFF" w:themeColor="background1"/>
              <w:bottom w:val="single" w:sz="4" w:space="0" w:color="auto"/>
              <w:right w:val="single" w:sz="4" w:space="0" w:color="FFFFFF" w:themeColor="background1"/>
            </w:tcBorders>
            <w:shd w:val="clear" w:color="auto" w:fill="100249"/>
            <w:vAlign w:val="center"/>
          </w:tcPr>
          <w:p w14:paraId="1E8BBEBC" w14:textId="77777777" w:rsidR="00A734D7" w:rsidRPr="009462CB" w:rsidRDefault="00A734D7" w:rsidP="0026579C">
            <w:pPr>
              <w:pStyle w:val="TableHeader1"/>
              <w:jc w:val="center"/>
              <w:rPr>
                <w:highlight w:val="yellow"/>
              </w:rPr>
            </w:pPr>
            <w:r w:rsidRPr="00622791">
              <w:t>Prep</w:t>
            </w:r>
          </w:p>
        </w:tc>
        <w:tc>
          <w:tcPr>
            <w:tcW w:w="589" w:type="pct"/>
            <w:tcBorders>
              <w:left w:val="single" w:sz="4" w:space="0" w:color="FFFFFF" w:themeColor="background1"/>
              <w:bottom w:val="single" w:sz="4" w:space="0" w:color="auto"/>
              <w:right w:val="single" w:sz="4" w:space="0" w:color="FFFFFF" w:themeColor="background1"/>
            </w:tcBorders>
            <w:shd w:val="clear" w:color="auto" w:fill="100249"/>
            <w:vAlign w:val="center"/>
          </w:tcPr>
          <w:p w14:paraId="722104B7" w14:textId="77777777" w:rsidR="00A734D7" w:rsidRDefault="00A734D7" w:rsidP="0026579C">
            <w:pPr>
              <w:pStyle w:val="TableHeader1"/>
              <w:jc w:val="center"/>
            </w:pPr>
            <w:r>
              <w:t>Year 1</w:t>
            </w:r>
          </w:p>
        </w:tc>
        <w:tc>
          <w:tcPr>
            <w:tcW w:w="589" w:type="pct"/>
            <w:tcBorders>
              <w:left w:val="single" w:sz="4" w:space="0" w:color="FFFFFF" w:themeColor="background1"/>
              <w:bottom w:val="single" w:sz="4" w:space="0" w:color="auto"/>
              <w:right w:val="single" w:sz="4" w:space="0" w:color="FFFFFF" w:themeColor="background1"/>
            </w:tcBorders>
            <w:shd w:val="clear" w:color="auto" w:fill="100249"/>
            <w:vAlign w:val="center"/>
          </w:tcPr>
          <w:p w14:paraId="77BED930" w14:textId="77777777" w:rsidR="00A734D7" w:rsidRDefault="00A734D7" w:rsidP="0026579C">
            <w:pPr>
              <w:pStyle w:val="TableHeader1"/>
              <w:jc w:val="center"/>
            </w:pPr>
            <w:r>
              <w:t>Year 2</w:t>
            </w:r>
          </w:p>
        </w:tc>
        <w:tc>
          <w:tcPr>
            <w:tcW w:w="589" w:type="pct"/>
            <w:tcBorders>
              <w:left w:val="single" w:sz="4" w:space="0" w:color="FFFFFF" w:themeColor="background1"/>
              <w:bottom w:val="single" w:sz="4" w:space="0" w:color="auto"/>
              <w:right w:val="single" w:sz="4" w:space="0" w:color="FFFFFF" w:themeColor="background1"/>
            </w:tcBorders>
            <w:shd w:val="clear" w:color="auto" w:fill="100249"/>
            <w:vAlign w:val="center"/>
          </w:tcPr>
          <w:p w14:paraId="6F9EF840" w14:textId="77777777" w:rsidR="00A734D7" w:rsidRDefault="00A734D7" w:rsidP="0026579C">
            <w:pPr>
              <w:pStyle w:val="TableHeader1"/>
              <w:jc w:val="center"/>
            </w:pPr>
            <w:r>
              <w:t>Year 3</w:t>
            </w:r>
          </w:p>
        </w:tc>
        <w:tc>
          <w:tcPr>
            <w:tcW w:w="589" w:type="pct"/>
            <w:tcBorders>
              <w:left w:val="single" w:sz="4" w:space="0" w:color="FFFFFF" w:themeColor="background1"/>
              <w:bottom w:val="single" w:sz="4" w:space="0" w:color="auto"/>
              <w:right w:val="single" w:sz="4" w:space="0" w:color="FFFFFF" w:themeColor="background1"/>
            </w:tcBorders>
            <w:shd w:val="clear" w:color="auto" w:fill="100249"/>
            <w:vAlign w:val="center"/>
          </w:tcPr>
          <w:p w14:paraId="40A6AC28" w14:textId="77777777" w:rsidR="00A734D7" w:rsidRDefault="00A734D7" w:rsidP="0026579C">
            <w:pPr>
              <w:pStyle w:val="TableHeader1"/>
              <w:jc w:val="center"/>
            </w:pPr>
            <w:r>
              <w:t>Year 4</w:t>
            </w:r>
          </w:p>
        </w:tc>
        <w:tc>
          <w:tcPr>
            <w:tcW w:w="589" w:type="pct"/>
            <w:tcBorders>
              <w:left w:val="single" w:sz="4" w:space="0" w:color="FFFFFF" w:themeColor="background1"/>
              <w:bottom w:val="single" w:sz="4" w:space="0" w:color="auto"/>
              <w:right w:val="single" w:sz="4" w:space="0" w:color="FFFFFF" w:themeColor="background1"/>
            </w:tcBorders>
            <w:shd w:val="clear" w:color="auto" w:fill="100249"/>
            <w:vAlign w:val="center"/>
          </w:tcPr>
          <w:p w14:paraId="55274C94" w14:textId="77777777" w:rsidR="00A734D7" w:rsidRDefault="00A734D7" w:rsidP="0026579C">
            <w:pPr>
              <w:pStyle w:val="TableHeader1"/>
              <w:jc w:val="center"/>
            </w:pPr>
            <w:r>
              <w:t>Year 5</w:t>
            </w:r>
          </w:p>
        </w:tc>
        <w:tc>
          <w:tcPr>
            <w:tcW w:w="587" w:type="pct"/>
            <w:tcBorders>
              <w:left w:val="single" w:sz="4" w:space="0" w:color="FFFFFF" w:themeColor="background1"/>
              <w:bottom w:val="single" w:sz="4" w:space="0" w:color="auto"/>
              <w:right w:val="single" w:sz="4" w:space="0" w:color="FFFFFF" w:themeColor="background1"/>
            </w:tcBorders>
            <w:shd w:val="clear" w:color="auto" w:fill="100249"/>
            <w:vAlign w:val="center"/>
          </w:tcPr>
          <w:p w14:paraId="5FB19FA2" w14:textId="77777777" w:rsidR="00A734D7" w:rsidRDefault="00A734D7" w:rsidP="0026579C">
            <w:pPr>
              <w:pStyle w:val="TableHeader1"/>
              <w:jc w:val="center"/>
            </w:pPr>
            <w:r>
              <w:t>Year 6</w:t>
            </w:r>
          </w:p>
        </w:tc>
      </w:tr>
      <w:tr w:rsidR="00A734D7" w:rsidRPr="009F599A" w14:paraId="0E321917" w14:textId="77777777" w:rsidTr="007D3D3D">
        <w:trPr>
          <w:trHeight w:val="367"/>
        </w:trPr>
        <w:tc>
          <w:tcPr>
            <w:tcW w:w="879" w:type="pct"/>
            <w:vAlign w:val="center"/>
          </w:tcPr>
          <w:p w14:paraId="6128845E" w14:textId="184F7B87" w:rsidR="00A734D7" w:rsidRDefault="00791183" w:rsidP="00791183">
            <w:pPr>
              <w:spacing w:before="40" w:after="40" w:line="240" w:lineRule="auto"/>
            </w:pPr>
            <w:r>
              <w:t>DE m</w:t>
            </w:r>
            <w:r w:rsidR="008D7A94">
              <w:t>inimum a</w:t>
            </w:r>
            <w:r w:rsidR="00A734D7">
              <w:t xml:space="preserve">ge of the student at 30 April </w:t>
            </w:r>
          </w:p>
        </w:tc>
        <w:tc>
          <w:tcPr>
            <w:tcW w:w="589" w:type="pct"/>
            <w:vAlign w:val="center"/>
          </w:tcPr>
          <w:p w14:paraId="6A6AEAE1" w14:textId="6FF7B321" w:rsidR="00A734D7" w:rsidRPr="009462CB" w:rsidRDefault="00A86EA2" w:rsidP="0026579C">
            <w:pPr>
              <w:spacing w:before="40" w:after="40" w:line="240" w:lineRule="auto"/>
              <w:jc w:val="center"/>
              <w:rPr>
                <w:b/>
                <w:highlight w:val="yellow"/>
              </w:rPr>
            </w:pPr>
            <w:r w:rsidRPr="009462CB">
              <w:rPr>
                <w:b/>
              </w:rPr>
              <w:t>6</w:t>
            </w:r>
          </w:p>
        </w:tc>
        <w:tc>
          <w:tcPr>
            <w:tcW w:w="589" w:type="pct"/>
            <w:vAlign w:val="center"/>
          </w:tcPr>
          <w:p w14:paraId="22C1A6B0" w14:textId="77777777" w:rsidR="00A734D7" w:rsidRPr="009F599A" w:rsidRDefault="00A734D7" w:rsidP="0026579C">
            <w:pPr>
              <w:spacing w:before="40" w:after="40" w:line="240" w:lineRule="auto"/>
              <w:jc w:val="center"/>
              <w:rPr>
                <w:b/>
              </w:rPr>
            </w:pPr>
            <w:r>
              <w:rPr>
                <w:b/>
              </w:rPr>
              <w:t>6</w:t>
            </w:r>
          </w:p>
        </w:tc>
        <w:tc>
          <w:tcPr>
            <w:tcW w:w="589" w:type="pct"/>
            <w:vAlign w:val="center"/>
          </w:tcPr>
          <w:p w14:paraId="7A246575" w14:textId="77777777" w:rsidR="00A734D7" w:rsidRDefault="00A734D7" w:rsidP="0026579C">
            <w:pPr>
              <w:spacing w:before="40" w:after="40" w:line="240" w:lineRule="auto"/>
              <w:jc w:val="center"/>
              <w:rPr>
                <w:b/>
              </w:rPr>
            </w:pPr>
            <w:r>
              <w:rPr>
                <w:b/>
              </w:rPr>
              <w:t>7</w:t>
            </w:r>
          </w:p>
        </w:tc>
        <w:tc>
          <w:tcPr>
            <w:tcW w:w="589" w:type="pct"/>
            <w:vAlign w:val="center"/>
          </w:tcPr>
          <w:p w14:paraId="61552A32" w14:textId="77777777" w:rsidR="00A734D7" w:rsidRDefault="00A734D7" w:rsidP="0026579C">
            <w:pPr>
              <w:spacing w:before="40" w:after="40" w:line="240" w:lineRule="auto"/>
              <w:jc w:val="center"/>
              <w:rPr>
                <w:b/>
              </w:rPr>
            </w:pPr>
            <w:r>
              <w:rPr>
                <w:b/>
              </w:rPr>
              <w:t>8</w:t>
            </w:r>
          </w:p>
        </w:tc>
        <w:tc>
          <w:tcPr>
            <w:tcW w:w="589" w:type="pct"/>
            <w:vAlign w:val="center"/>
          </w:tcPr>
          <w:p w14:paraId="1B40A133" w14:textId="77777777" w:rsidR="00A734D7" w:rsidRDefault="00A734D7" w:rsidP="0026579C">
            <w:pPr>
              <w:spacing w:before="40" w:after="40" w:line="240" w:lineRule="auto"/>
              <w:jc w:val="center"/>
              <w:rPr>
                <w:b/>
              </w:rPr>
            </w:pPr>
            <w:r>
              <w:rPr>
                <w:b/>
              </w:rPr>
              <w:t>9</w:t>
            </w:r>
          </w:p>
        </w:tc>
        <w:tc>
          <w:tcPr>
            <w:tcW w:w="589" w:type="pct"/>
            <w:vAlign w:val="center"/>
          </w:tcPr>
          <w:p w14:paraId="1974DD9F" w14:textId="77777777" w:rsidR="00A734D7" w:rsidRDefault="00A734D7" w:rsidP="0026579C">
            <w:pPr>
              <w:spacing w:before="40" w:after="40" w:line="240" w:lineRule="auto"/>
              <w:jc w:val="center"/>
              <w:rPr>
                <w:b/>
              </w:rPr>
            </w:pPr>
            <w:r>
              <w:rPr>
                <w:b/>
              </w:rPr>
              <w:t>10</w:t>
            </w:r>
          </w:p>
        </w:tc>
        <w:tc>
          <w:tcPr>
            <w:tcW w:w="587" w:type="pct"/>
            <w:vAlign w:val="center"/>
          </w:tcPr>
          <w:p w14:paraId="3366EA2A" w14:textId="77777777" w:rsidR="00A734D7" w:rsidRDefault="00A734D7" w:rsidP="0026579C">
            <w:pPr>
              <w:spacing w:before="40" w:after="40" w:line="240" w:lineRule="auto"/>
              <w:jc w:val="center"/>
              <w:rPr>
                <w:b/>
              </w:rPr>
            </w:pPr>
            <w:r>
              <w:rPr>
                <w:b/>
              </w:rPr>
              <w:t>11</w:t>
            </w:r>
          </w:p>
        </w:tc>
      </w:tr>
    </w:tbl>
    <w:p w14:paraId="32F933F0" w14:textId="6FAC0C52" w:rsidR="00EA36B0" w:rsidRPr="00F56674" w:rsidRDefault="00EA36B0" w:rsidP="00EA36B0">
      <w:pPr>
        <w:pStyle w:val="Heading3"/>
        <w:rPr>
          <w:highlight w:val="yellow"/>
        </w:rPr>
      </w:pPr>
      <w:r>
        <w:t xml:space="preserve">Academic and </w:t>
      </w:r>
      <w:r w:rsidRPr="009300B0">
        <w:t xml:space="preserve">English </w:t>
      </w:r>
      <w:r w:rsidR="00810C35">
        <w:t>l</w:t>
      </w:r>
      <w:r w:rsidR="00810C35" w:rsidRPr="009300B0">
        <w:t xml:space="preserve">anguage </w:t>
      </w:r>
      <w:r w:rsidR="00810C35">
        <w:t>r</w:t>
      </w:r>
      <w:r w:rsidR="00810C35" w:rsidRPr="009300B0">
        <w:t>equirements</w:t>
      </w:r>
    </w:p>
    <w:p w14:paraId="1D4A5AF3" w14:textId="643AC0F7" w:rsidR="00EA36B0" w:rsidRDefault="00EA36B0" w:rsidP="008D08EA">
      <w:pPr>
        <w:pStyle w:val="BodyText"/>
      </w:pPr>
      <w:r>
        <w:t xml:space="preserve">There are no </w:t>
      </w:r>
      <w:r w:rsidR="00AB44E6">
        <w:t>a</w:t>
      </w:r>
      <w:r>
        <w:t xml:space="preserve">cademic or English </w:t>
      </w:r>
      <w:r w:rsidR="00AB44E6">
        <w:t>l</w:t>
      </w:r>
      <w:r>
        <w:t xml:space="preserve">anguage </w:t>
      </w:r>
      <w:r w:rsidR="00AB44E6">
        <w:t>p</w:t>
      </w:r>
      <w:r>
        <w:t xml:space="preserve">roficiency requirements for students wishing to enrol in Prep </w:t>
      </w:r>
      <w:r w:rsidRPr="00D61CB3">
        <w:t>to</w:t>
      </w:r>
      <w:r>
        <w:t xml:space="preserve"> Year 6.</w:t>
      </w:r>
      <w:r w:rsidRPr="00F56674" w:rsidDel="00972EE3">
        <w:t xml:space="preserve"> </w:t>
      </w:r>
    </w:p>
    <w:p w14:paraId="488FF12C" w14:textId="495A12E5" w:rsidR="00EA36B0" w:rsidRDefault="00EA36B0" w:rsidP="00EA36B0">
      <w:pPr>
        <w:pStyle w:val="Heading2"/>
        <w:numPr>
          <w:ilvl w:val="0"/>
          <w:numId w:val="0"/>
        </w:numPr>
      </w:pPr>
      <w:r>
        <w:t xml:space="preserve">Student eligibility – Secondary (Year 7 to Year 12) – CRICOS </w:t>
      </w:r>
      <w:r w:rsidR="00810C35">
        <w:t>c</w:t>
      </w:r>
      <w:r>
        <w:t xml:space="preserve">ourse </w:t>
      </w:r>
      <w:r w:rsidR="00810C35">
        <w:t>c</w:t>
      </w:r>
      <w:r>
        <w:t>ode 019048F</w:t>
      </w:r>
    </w:p>
    <w:p w14:paraId="5523F71B" w14:textId="77777777" w:rsidR="00EA36B0" w:rsidRDefault="00EA36B0" w:rsidP="00EA36B0">
      <w:pPr>
        <w:pStyle w:val="Heading3"/>
      </w:pPr>
      <w:r>
        <w:t>Age requirements</w:t>
      </w:r>
    </w:p>
    <w:p w14:paraId="65DD9E41" w14:textId="24332362" w:rsidR="00F03EF7" w:rsidRPr="00D16783" w:rsidRDefault="00FA5D69" w:rsidP="008D08EA">
      <w:pPr>
        <w:pStyle w:val="BodyText"/>
      </w:pPr>
      <w:r>
        <w:t xml:space="preserve">Students between 12 and 20 years old </w:t>
      </w:r>
      <w:r w:rsidR="00C56600">
        <w:t xml:space="preserve">are eligible </w:t>
      </w:r>
      <w:r w:rsidR="00DB6BE0">
        <w:t xml:space="preserve">to apply </w:t>
      </w:r>
      <w:r w:rsidR="00557377">
        <w:t xml:space="preserve">to attend a </w:t>
      </w:r>
      <w:r w:rsidR="00EA36B0">
        <w:t>s</w:t>
      </w:r>
      <w:r w:rsidRPr="00FA5D69">
        <w:t>econdary</w:t>
      </w:r>
      <w:r w:rsidR="00EA36B0">
        <w:t xml:space="preserve"> school in Victoria. </w:t>
      </w:r>
      <w:r w:rsidR="00C56600">
        <w:t xml:space="preserve">Additionally, </w:t>
      </w:r>
      <w:r w:rsidR="0025683D">
        <w:t xml:space="preserve">students must </w:t>
      </w:r>
      <w:r w:rsidR="00F03EF7">
        <w:t xml:space="preserve">meet </w:t>
      </w:r>
      <w:hyperlink r:id="rId16" w:anchor="Eligibility" w:history="1">
        <w:r w:rsidR="00F03EF7" w:rsidRPr="00F03EF7">
          <w:rPr>
            <w:rStyle w:val="Hyperlink"/>
          </w:rPr>
          <w:t>DHA age requirements</w:t>
        </w:r>
      </w:hyperlink>
      <w:r w:rsidR="00C56600">
        <w:t xml:space="preserve">: </w:t>
      </w:r>
    </w:p>
    <w:p w14:paraId="4620FA3C" w14:textId="77777777" w:rsidR="00F03EF7" w:rsidRPr="00F03EF7" w:rsidRDefault="00F03EF7" w:rsidP="00F03EF7">
      <w:pPr>
        <w:pStyle w:val="ListBullet"/>
        <w:rPr>
          <w:lang w:eastAsia="en-AU"/>
        </w:rPr>
      </w:pPr>
      <w:r w:rsidRPr="00F03EF7">
        <w:rPr>
          <w:lang w:eastAsia="en-AU"/>
        </w:rPr>
        <w:t>less than 17 years old when you begin Year 9</w:t>
      </w:r>
    </w:p>
    <w:p w14:paraId="7A2CBC11" w14:textId="77777777" w:rsidR="00F03EF7" w:rsidRPr="00F03EF7" w:rsidRDefault="00F03EF7" w:rsidP="00F03EF7">
      <w:pPr>
        <w:pStyle w:val="ListBullet"/>
        <w:rPr>
          <w:lang w:eastAsia="en-AU"/>
        </w:rPr>
      </w:pPr>
      <w:r w:rsidRPr="00F03EF7">
        <w:rPr>
          <w:lang w:eastAsia="en-AU"/>
        </w:rPr>
        <w:t>less than 18 years old when you begin Year 10</w:t>
      </w:r>
    </w:p>
    <w:p w14:paraId="2137C413" w14:textId="77777777" w:rsidR="00F03EF7" w:rsidRPr="00F03EF7" w:rsidRDefault="00F03EF7" w:rsidP="00F03EF7">
      <w:pPr>
        <w:pStyle w:val="ListBullet"/>
        <w:rPr>
          <w:lang w:eastAsia="en-AU"/>
        </w:rPr>
      </w:pPr>
      <w:r w:rsidRPr="00F03EF7">
        <w:rPr>
          <w:lang w:eastAsia="en-AU"/>
        </w:rPr>
        <w:t>less than 19 years old when you begin Year 11 </w:t>
      </w:r>
    </w:p>
    <w:p w14:paraId="7369D5F4" w14:textId="77777777" w:rsidR="00F03EF7" w:rsidRPr="00F03EF7" w:rsidRDefault="00F03EF7" w:rsidP="00F03EF7">
      <w:pPr>
        <w:pStyle w:val="ListBullet"/>
        <w:rPr>
          <w:lang w:eastAsia="en-AU"/>
        </w:rPr>
      </w:pPr>
      <w:r w:rsidRPr="00F03EF7">
        <w:rPr>
          <w:lang w:eastAsia="en-AU"/>
        </w:rPr>
        <w:t>less than 20 years old when you begin Year 12 </w:t>
      </w:r>
    </w:p>
    <w:p w14:paraId="32B46D0E" w14:textId="45300F15" w:rsidR="007E506D" w:rsidRDefault="006F0E6D" w:rsidP="007E506D">
      <w:pPr>
        <w:pStyle w:val="BodyText"/>
      </w:pPr>
      <w:r w:rsidRPr="00A371B8">
        <w:t>As set out in the</w:t>
      </w:r>
      <w:r w:rsidR="003D2AB2">
        <w:t xml:space="preserve"> </w:t>
      </w:r>
      <w:hyperlink r:id="rId17" w:history="1">
        <w:r w:rsidR="003D2AB2" w:rsidRPr="003D2AB2">
          <w:rPr>
            <w:rStyle w:val="Hyperlink"/>
          </w:rPr>
          <w:t>Enrolment Policy</w:t>
        </w:r>
      </w:hyperlink>
      <w:r w:rsidRPr="00A371B8">
        <w:t xml:space="preserve">, </w:t>
      </w:r>
      <w:r w:rsidR="00927B1B">
        <w:t>principals are responsible for assessing the appropriate year level a student is placed into, based on factors such</w:t>
      </w:r>
      <w:r w:rsidR="00927B1B" w:rsidRPr="00A371B8">
        <w:t xml:space="preserve"> </w:t>
      </w:r>
      <w:r w:rsidR="00522476">
        <w:t>as the</w:t>
      </w:r>
      <w:r w:rsidR="009E1003">
        <w:t xml:space="preserve"> </w:t>
      </w:r>
      <w:r w:rsidR="00522476">
        <w:t xml:space="preserve">student’s </w:t>
      </w:r>
      <w:r w:rsidRPr="00A371B8">
        <w:t xml:space="preserve">age and </w:t>
      </w:r>
      <w:r w:rsidR="00522476">
        <w:t xml:space="preserve">their </w:t>
      </w:r>
      <w:r w:rsidRPr="00A371B8">
        <w:t>academic ability</w:t>
      </w:r>
      <w:r w:rsidR="00BC194E">
        <w:t xml:space="preserve">. </w:t>
      </w:r>
      <w:r w:rsidR="00A54B03">
        <w:t xml:space="preserve">Ultimately, </w:t>
      </w:r>
      <w:r w:rsidR="00BC194E">
        <w:t xml:space="preserve">DE (IED) </w:t>
      </w:r>
      <w:r w:rsidR="00A54B03">
        <w:t xml:space="preserve">must </w:t>
      </w:r>
      <w:r w:rsidR="00222F3A">
        <w:t>approve</w:t>
      </w:r>
      <w:r w:rsidR="00A54B03">
        <w:t xml:space="preserve"> </w:t>
      </w:r>
      <w:r w:rsidR="00222F3A">
        <w:t xml:space="preserve">the enrolment year of the student before </w:t>
      </w:r>
      <w:r w:rsidR="0015384E">
        <w:t xml:space="preserve">issuing </w:t>
      </w:r>
      <w:r w:rsidR="00222F3A">
        <w:t>a CoE.</w:t>
      </w:r>
      <w:r w:rsidR="00E1356E">
        <w:t xml:space="preserve"> </w:t>
      </w:r>
    </w:p>
    <w:p w14:paraId="72BB7E81" w14:textId="532E4FB3" w:rsidR="007032E9" w:rsidRDefault="007032E9" w:rsidP="007E506D">
      <w:pPr>
        <w:pStyle w:val="Heading3"/>
      </w:pPr>
      <w:r>
        <w:t xml:space="preserve">Academic </w:t>
      </w:r>
      <w:r w:rsidR="00810C35">
        <w:t>r</w:t>
      </w:r>
      <w:r w:rsidR="00810C35" w:rsidRPr="009300B0">
        <w:t>equirements</w:t>
      </w:r>
    </w:p>
    <w:p w14:paraId="098C82AA" w14:textId="77777777" w:rsidR="00F03EF7" w:rsidRDefault="00F03EF7" w:rsidP="00F03EF7">
      <w:pPr>
        <w:pStyle w:val="BodyText"/>
      </w:pPr>
    </w:p>
    <w:tbl>
      <w:tblPr>
        <w:tblStyle w:val="TableGrid"/>
        <w:tblW w:w="5000" w:type="pct"/>
        <w:tblLook w:val="04A0" w:firstRow="1" w:lastRow="0" w:firstColumn="1" w:lastColumn="0" w:noHBand="0" w:noVBand="1"/>
      </w:tblPr>
      <w:tblGrid>
        <w:gridCol w:w="1670"/>
        <w:gridCol w:w="1463"/>
        <w:gridCol w:w="1463"/>
        <w:gridCol w:w="1463"/>
        <w:gridCol w:w="1463"/>
        <w:gridCol w:w="1463"/>
        <w:gridCol w:w="1465"/>
      </w:tblGrid>
      <w:tr w:rsidR="00F03EF7" w14:paraId="2D027F2D" w14:textId="77777777" w:rsidTr="00E03DE5">
        <w:tc>
          <w:tcPr>
            <w:tcW w:w="799" w:type="pct"/>
            <w:vMerge w:val="restart"/>
            <w:tcBorders>
              <w:left w:val="single" w:sz="4" w:space="0" w:color="FFFFFF" w:themeColor="background1"/>
              <w:right w:val="single" w:sz="4" w:space="0" w:color="FFFFFF" w:themeColor="background1"/>
            </w:tcBorders>
            <w:shd w:val="clear" w:color="auto" w:fill="100249"/>
            <w:vAlign w:val="center"/>
          </w:tcPr>
          <w:p w14:paraId="0E51B5F4" w14:textId="55BE0F01" w:rsidR="00F03EF7" w:rsidRPr="00437D5A" w:rsidRDefault="00F03EF7" w:rsidP="00E03DE5">
            <w:pPr>
              <w:pStyle w:val="TableHeader1"/>
            </w:pPr>
            <w:r>
              <w:t>Academic requirements</w:t>
            </w:r>
          </w:p>
        </w:tc>
        <w:tc>
          <w:tcPr>
            <w:tcW w:w="700" w:type="pct"/>
            <w:tcBorders>
              <w:left w:val="single" w:sz="4" w:space="0" w:color="FFFFFF" w:themeColor="background1"/>
              <w:bottom w:val="single" w:sz="4" w:space="0" w:color="auto"/>
              <w:right w:val="single" w:sz="4" w:space="0" w:color="FFFFFF" w:themeColor="background1"/>
            </w:tcBorders>
            <w:shd w:val="clear" w:color="auto" w:fill="100249"/>
            <w:vAlign w:val="center"/>
          </w:tcPr>
          <w:p w14:paraId="6FBE08A3" w14:textId="77777777" w:rsidR="00F03EF7" w:rsidRPr="00437D5A" w:rsidRDefault="00F03EF7" w:rsidP="00E03DE5">
            <w:pPr>
              <w:pStyle w:val="TableHeader1"/>
              <w:jc w:val="center"/>
            </w:pPr>
            <w:r>
              <w:t>Year 7</w:t>
            </w:r>
          </w:p>
        </w:tc>
        <w:tc>
          <w:tcPr>
            <w:tcW w:w="700" w:type="pct"/>
            <w:tcBorders>
              <w:left w:val="single" w:sz="4" w:space="0" w:color="FFFFFF" w:themeColor="background1"/>
              <w:bottom w:val="single" w:sz="4" w:space="0" w:color="auto"/>
              <w:right w:val="single" w:sz="4" w:space="0" w:color="FFFFFF" w:themeColor="background1"/>
            </w:tcBorders>
            <w:shd w:val="clear" w:color="auto" w:fill="100249"/>
            <w:vAlign w:val="center"/>
          </w:tcPr>
          <w:p w14:paraId="685E3B7D" w14:textId="77777777" w:rsidR="00F03EF7" w:rsidRDefault="00F03EF7" w:rsidP="00E03DE5">
            <w:pPr>
              <w:pStyle w:val="TableHeader1"/>
              <w:jc w:val="center"/>
            </w:pPr>
            <w:r>
              <w:t>Year 8</w:t>
            </w:r>
          </w:p>
        </w:tc>
        <w:tc>
          <w:tcPr>
            <w:tcW w:w="700" w:type="pct"/>
            <w:tcBorders>
              <w:left w:val="single" w:sz="4" w:space="0" w:color="FFFFFF" w:themeColor="background1"/>
              <w:bottom w:val="single" w:sz="4" w:space="0" w:color="auto"/>
              <w:right w:val="single" w:sz="4" w:space="0" w:color="FFFFFF" w:themeColor="background1"/>
            </w:tcBorders>
            <w:shd w:val="clear" w:color="auto" w:fill="100249"/>
            <w:vAlign w:val="center"/>
          </w:tcPr>
          <w:p w14:paraId="021D285E" w14:textId="77777777" w:rsidR="00F03EF7" w:rsidRDefault="00F03EF7" w:rsidP="00E03DE5">
            <w:pPr>
              <w:pStyle w:val="TableHeader1"/>
              <w:jc w:val="center"/>
            </w:pPr>
            <w:r>
              <w:t>Year 9</w:t>
            </w:r>
          </w:p>
        </w:tc>
        <w:tc>
          <w:tcPr>
            <w:tcW w:w="700" w:type="pct"/>
            <w:tcBorders>
              <w:left w:val="single" w:sz="4" w:space="0" w:color="FFFFFF" w:themeColor="background1"/>
              <w:bottom w:val="single" w:sz="4" w:space="0" w:color="auto"/>
              <w:right w:val="single" w:sz="4" w:space="0" w:color="FFFFFF" w:themeColor="background1"/>
            </w:tcBorders>
            <w:shd w:val="clear" w:color="auto" w:fill="100249"/>
            <w:vAlign w:val="center"/>
          </w:tcPr>
          <w:p w14:paraId="33A25E96" w14:textId="77777777" w:rsidR="00F03EF7" w:rsidRDefault="00F03EF7" w:rsidP="00E03DE5">
            <w:pPr>
              <w:pStyle w:val="TableHeader1"/>
              <w:jc w:val="center"/>
            </w:pPr>
            <w:r>
              <w:t>Year 10</w:t>
            </w:r>
          </w:p>
        </w:tc>
        <w:tc>
          <w:tcPr>
            <w:tcW w:w="700" w:type="pct"/>
            <w:tcBorders>
              <w:left w:val="single" w:sz="4" w:space="0" w:color="FFFFFF" w:themeColor="background1"/>
              <w:bottom w:val="single" w:sz="4" w:space="0" w:color="auto"/>
              <w:right w:val="single" w:sz="4" w:space="0" w:color="FFFFFF" w:themeColor="background1"/>
            </w:tcBorders>
            <w:shd w:val="clear" w:color="auto" w:fill="100249"/>
            <w:vAlign w:val="center"/>
          </w:tcPr>
          <w:p w14:paraId="7713826C" w14:textId="77777777" w:rsidR="00F03EF7" w:rsidRDefault="00F03EF7" w:rsidP="00E03DE5">
            <w:pPr>
              <w:pStyle w:val="TableHeader1"/>
              <w:jc w:val="center"/>
            </w:pPr>
            <w:r>
              <w:t>Year 11</w:t>
            </w:r>
          </w:p>
        </w:tc>
        <w:tc>
          <w:tcPr>
            <w:tcW w:w="701" w:type="pct"/>
            <w:tcBorders>
              <w:left w:val="single" w:sz="4" w:space="0" w:color="FFFFFF" w:themeColor="background1"/>
              <w:bottom w:val="single" w:sz="4" w:space="0" w:color="auto"/>
              <w:right w:val="single" w:sz="4" w:space="0" w:color="FFFFFF" w:themeColor="background1"/>
            </w:tcBorders>
            <w:shd w:val="clear" w:color="auto" w:fill="100249"/>
            <w:vAlign w:val="center"/>
          </w:tcPr>
          <w:p w14:paraId="427F6996" w14:textId="77777777" w:rsidR="00F03EF7" w:rsidRDefault="00F03EF7" w:rsidP="00E03DE5">
            <w:pPr>
              <w:pStyle w:val="TableHeader1"/>
              <w:jc w:val="center"/>
            </w:pPr>
            <w:r>
              <w:t>Year 12</w:t>
            </w:r>
          </w:p>
        </w:tc>
      </w:tr>
      <w:tr w:rsidR="00F03EF7" w14:paraId="24537214" w14:textId="77777777" w:rsidTr="00A85081">
        <w:trPr>
          <w:trHeight w:val="1304"/>
        </w:trPr>
        <w:tc>
          <w:tcPr>
            <w:tcW w:w="799" w:type="pct"/>
            <w:vMerge/>
            <w:tcBorders>
              <w:left w:val="single" w:sz="4" w:space="0" w:color="FFFFFF" w:themeColor="background1"/>
              <w:right w:val="single" w:sz="4" w:space="0" w:color="FFFFFF" w:themeColor="background1"/>
            </w:tcBorders>
            <w:shd w:val="clear" w:color="auto" w:fill="100249"/>
            <w:vAlign w:val="center"/>
          </w:tcPr>
          <w:p w14:paraId="53D5B976" w14:textId="77777777" w:rsidR="00F03EF7" w:rsidRDefault="00F03EF7" w:rsidP="00E03DE5">
            <w:pPr>
              <w:spacing w:before="40" w:after="40" w:line="240" w:lineRule="auto"/>
              <w:jc w:val="center"/>
            </w:pPr>
          </w:p>
        </w:tc>
        <w:tc>
          <w:tcPr>
            <w:tcW w:w="4201" w:type="pct"/>
            <w:gridSpan w:val="6"/>
            <w:tcBorders>
              <w:left w:val="single" w:sz="4" w:space="0" w:color="FFFFFF" w:themeColor="background1"/>
            </w:tcBorders>
            <w:shd w:val="clear" w:color="auto" w:fill="00BAC0"/>
            <w:vAlign w:val="center"/>
          </w:tcPr>
          <w:p w14:paraId="00164711" w14:textId="0B659F22" w:rsidR="00F03EF7" w:rsidRDefault="00F03EF7" w:rsidP="00F03EF7">
            <w:pPr>
              <w:pStyle w:val="BodyText"/>
              <w:rPr>
                <w:b/>
                <w:bCs/>
              </w:rPr>
            </w:pPr>
            <w:r w:rsidRPr="00C95F89">
              <w:rPr>
                <w:b/>
                <w:bCs/>
              </w:rPr>
              <w:t xml:space="preserve">Student must have achieved </w:t>
            </w:r>
            <w:r w:rsidR="00B96B34">
              <w:rPr>
                <w:b/>
                <w:bCs/>
              </w:rPr>
              <w:t xml:space="preserve">an average of </w:t>
            </w:r>
            <w:r w:rsidRPr="00C95F89">
              <w:rPr>
                <w:b/>
                <w:bCs/>
              </w:rPr>
              <w:t>at least 60</w:t>
            </w:r>
            <w:r w:rsidR="00B96B34">
              <w:rPr>
                <w:b/>
                <w:bCs/>
              </w:rPr>
              <w:t xml:space="preserve">% </w:t>
            </w:r>
            <w:r w:rsidRPr="00C95F89">
              <w:rPr>
                <w:b/>
                <w:bCs/>
              </w:rPr>
              <w:t xml:space="preserve">in each core academic subject </w:t>
            </w:r>
            <w:r w:rsidR="00DA262D">
              <w:rPr>
                <w:b/>
                <w:bCs/>
              </w:rPr>
              <w:t>over</w:t>
            </w:r>
            <w:r w:rsidR="00DA262D" w:rsidRPr="00C95F89">
              <w:rPr>
                <w:b/>
                <w:bCs/>
              </w:rPr>
              <w:t xml:space="preserve"> </w:t>
            </w:r>
            <w:r w:rsidRPr="00C95F89">
              <w:rPr>
                <w:b/>
                <w:bCs/>
              </w:rPr>
              <w:t>the previous 2 years</w:t>
            </w:r>
            <w:r w:rsidR="00DA262D">
              <w:rPr>
                <w:b/>
                <w:bCs/>
              </w:rPr>
              <w:t xml:space="preserve"> of study</w:t>
            </w:r>
          </w:p>
          <w:p w14:paraId="4938D515" w14:textId="0DB99C19" w:rsidR="00F03EF7" w:rsidRDefault="00F03EF7" w:rsidP="00E03DE5">
            <w:pPr>
              <w:pStyle w:val="TableText"/>
              <w:jc w:val="center"/>
            </w:pPr>
          </w:p>
        </w:tc>
      </w:tr>
    </w:tbl>
    <w:p w14:paraId="3B92C92D" w14:textId="4CABAD61" w:rsidR="00F03EF7" w:rsidRDefault="00F03EF7" w:rsidP="00F03EF7">
      <w:pPr>
        <w:pStyle w:val="BodyText"/>
      </w:pPr>
      <w:r w:rsidRPr="009462CB">
        <w:rPr>
          <w:color w:val="auto"/>
        </w:rPr>
        <w:t xml:space="preserve">In the case of </w:t>
      </w:r>
      <w:r>
        <w:t>students not meeting academic requirements</w:t>
      </w:r>
      <w:r w:rsidR="00DA262D">
        <w:t>,</w:t>
      </w:r>
      <w:r>
        <w:t xml:space="preserve"> IED may recommend taking a</w:t>
      </w:r>
      <w:r w:rsidR="00DA262D">
        <w:t>n</w:t>
      </w:r>
      <w:r>
        <w:t xml:space="preserve"> independent general abilities test such </w:t>
      </w:r>
      <w:r w:rsidR="00DA262D">
        <w:t xml:space="preserve">as </w:t>
      </w:r>
      <w:r w:rsidR="00465E19">
        <w:t>Australian Education Assessment Services (AEAS)</w:t>
      </w:r>
      <w:r w:rsidR="00DA262D">
        <w:t>,</w:t>
      </w:r>
      <w:r>
        <w:t xml:space="preserve"> </w:t>
      </w:r>
      <w:r w:rsidR="00465E19">
        <w:t>International Diagnostic and Admission Test</w:t>
      </w:r>
      <w:r>
        <w:t xml:space="preserve"> </w:t>
      </w:r>
      <w:r w:rsidR="005471DF">
        <w:t xml:space="preserve">(IDAT) </w:t>
      </w:r>
      <w:r>
        <w:t>or equivalent.</w:t>
      </w:r>
    </w:p>
    <w:p w14:paraId="48DAC9A6" w14:textId="793578B5" w:rsidR="00C90BCA" w:rsidRDefault="00C90BCA" w:rsidP="00F17EB6">
      <w:pPr>
        <w:pStyle w:val="BodyText"/>
      </w:pPr>
    </w:p>
    <w:p w14:paraId="35FCC1D2" w14:textId="1F533763" w:rsidR="00C95F89" w:rsidRDefault="00C95F89" w:rsidP="00C95F89">
      <w:pPr>
        <w:pStyle w:val="Heading3"/>
        <w:spacing w:after="120"/>
      </w:pPr>
      <w:r w:rsidRPr="009300B0">
        <w:lastRenderedPageBreak/>
        <w:t xml:space="preserve">English </w:t>
      </w:r>
      <w:r>
        <w:t>l</w:t>
      </w:r>
      <w:r w:rsidRPr="009300B0">
        <w:t xml:space="preserve">anguage </w:t>
      </w:r>
      <w:r>
        <w:t>r</w:t>
      </w:r>
      <w:r w:rsidRPr="009300B0">
        <w:t>equirements</w:t>
      </w:r>
    </w:p>
    <w:p w14:paraId="706B3936" w14:textId="24105B02" w:rsidR="00C95F89" w:rsidRPr="00E16877" w:rsidRDefault="00AD15EB" w:rsidP="00F17EB6">
      <w:pPr>
        <w:pStyle w:val="BodyText"/>
      </w:pPr>
      <w:r>
        <w:t xml:space="preserve">English language entry requirements do not apply to Study Abroad students. </w:t>
      </w:r>
    </w:p>
    <w:tbl>
      <w:tblPr>
        <w:tblStyle w:val="TableGrid"/>
        <w:tblW w:w="5000" w:type="pct"/>
        <w:jc w:val="center"/>
        <w:tblLook w:val="04A0" w:firstRow="1" w:lastRow="0" w:firstColumn="1" w:lastColumn="0" w:noHBand="0" w:noVBand="1"/>
      </w:tblPr>
      <w:tblGrid>
        <w:gridCol w:w="1670"/>
        <w:gridCol w:w="1463"/>
        <w:gridCol w:w="1463"/>
        <w:gridCol w:w="1463"/>
        <w:gridCol w:w="1463"/>
        <w:gridCol w:w="1463"/>
        <w:gridCol w:w="1465"/>
      </w:tblGrid>
      <w:tr w:rsidR="00C90BCA" w:rsidRPr="00437D5A" w14:paraId="26DC5859" w14:textId="77777777" w:rsidTr="007E506D">
        <w:trPr>
          <w:jc w:val="center"/>
        </w:trPr>
        <w:tc>
          <w:tcPr>
            <w:tcW w:w="799" w:type="pct"/>
            <w:vMerge w:val="restart"/>
            <w:tcBorders>
              <w:left w:val="single" w:sz="4" w:space="0" w:color="FFFFFF" w:themeColor="background1"/>
              <w:right w:val="single" w:sz="4" w:space="0" w:color="FFFFFF" w:themeColor="background1"/>
            </w:tcBorders>
            <w:shd w:val="clear" w:color="auto" w:fill="100249"/>
            <w:vAlign w:val="center"/>
          </w:tcPr>
          <w:p w14:paraId="37CD2B90" w14:textId="77777777" w:rsidR="00C90BCA" w:rsidRPr="00437D5A" w:rsidRDefault="00C90BCA" w:rsidP="00E03DE5">
            <w:pPr>
              <w:pStyle w:val="TableHeader1"/>
            </w:pPr>
            <w:bookmarkStart w:id="2" w:name="_Hlk137121766"/>
          </w:p>
        </w:tc>
        <w:tc>
          <w:tcPr>
            <w:tcW w:w="700" w:type="pct"/>
            <w:tcBorders>
              <w:left w:val="single" w:sz="4" w:space="0" w:color="FFFFFF" w:themeColor="background1"/>
              <w:bottom w:val="single" w:sz="4" w:space="0" w:color="auto"/>
              <w:right w:val="single" w:sz="4" w:space="0" w:color="FFFFFF" w:themeColor="background1"/>
            </w:tcBorders>
            <w:shd w:val="clear" w:color="auto" w:fill="100249"/>
            <w:vAlign w:val="center"/>
          </w:tcPr>
          <w:p w14:paraId="550D08BB" w14:textId="77777777" w:rsidR="00C90BCA" w:rsidRPr="00437D5A" w:rsidRDefault="00C90BCA" w:rsidP="00E03DE5">
            <w:pPr>
              <w:pStyle w:val="TableHeader1"/>
              <w:jc w:val="center"/>
            </w:pPr>
            <w:r>
              <w:t>Year 7</w:t>
            </w:r>
          </w:p>
        </w:tc>
        <w:tc>
          <w:tcPr>
            <w:tcW w:w="700" w:type="pct"/>
            <w:tcBorders>
              <w:left w:val="single" w:sz="4" w:space="0" w:color="FFFFFF" w:themeColor="background1"/>
              <w:bottom w:val="single" w:sz="4" w:space="0" w:color="auto"/>
              <w:right w:val="single" w:sz="4" w:space="0" w:color="FFFFFF" w:themeColor="background1"/>
            </w:tcBorders>
            <w:shd w:val="clear" w:color="auto" w:fill="100249"/>
            <w:vAlign w:val="center"/>
          </w:tcPr>
          <w:p w14:paraId="7014CA78" w14:textId="77777777" w:rsidR="00C90BCA" w:rsidRDefault="00C90BCA" w:rsidP="00E03DE5">
            <w:pPr>
              <w:pStyle w:val="TableHeader1"/>
              <w:jc w:val="center"/>
            </w:pPr>
            <w:r>
              <w:t>Year 8</w:t>
            </w:r>
          </w:p>
        </w:tc>
        <w:tc>
          <w:tcPr>
            <w:tcW w:w="700" w:type="pct"/>
            <w:tcBorders>
              <w:left w:val="single" w:sz="4" w:space="0" w:color="FFFFFF" w:themeColor="background1"/>
              <w:bottom w:val="single" w:sz="4" w:space="0" w:color="auto"/>
              <w:right w:val="single" w:sz="4" w:space="0" w:color="FFFFFF" w:themeColor="background1"/>
            </w:tcBorders>
            <w:shd w:val="clear" w:color="auto" w:fill="100249"/>
            <w:vAlign w:val="center"/>
          </w:tcPr>
          <w:p w14:paraId="68A843F2" w14:textId="77777777" w:rsidR="00C90BCA" w:rsidRDefault="00C90BCA" w:rsidP="00E03DE5">
            <w:pPr>
              <w:pStyle w:val="TableHeader1"/>
              <w:jc w:val="center"/>
            </w:pPr>
            <w:r>
              <w:t>Year 9</w:t>
            </w:r>
          </w:p>
        </w:tc>
        <w:tc>
          <w:tcPr>
            <w:tcW w:w="700" w:type="pct"/>
            <w:tcBorders>
              <w:left w:val="single" w:sz="4" w:space="0" w:color="FFFFFF" w:themeColor="background1"/>
              <w:bottom w:val="single" w:sz="4" w:space="0" w:color="auto"/>
              <w:right w:val="single" w:sz="4" w:space="0" w:color="FFFFFF" w:themeColor="background1"/>
            </w:tcBorders>
            <w:shd w:val="clear" w:color="auto" w:fill="100249"/>
            <w:vAlign w:val="center"/>
          </w:tcPr>
          <w:p w14:paraId="1A43798D" w14:textId="77777777" w:rsidR="00C90BCA" w:rsidRDefault="00C90BCA" w:rsidP="00E03DE5">
            <w:pPr>
              <w:pStyle w:val="TableHeader1"/>
              <w:jc w:val="center"/>
            </w:pPr>
            <w:r>
              <w:t>Year 10</w:t>
            </w:r>
          </w:p>
        </w:tc>
        <w:tc>
          <w:tcPr>
            <w:tcW w:w="700" w:type="pct"/>
            <w:tcBorders>
              <w:left w:val="single" w:sz="4" w:space="0" w:color="FFFFFF" w:themeColor="background1"/>
              <w:bottom w:val="single" w:sz="4" w:space="0" w:color="auto"/>
              <w:right w:val="single" w:sz="4" w:space="0" w:color="FFFFFF" w:themeColor="background1"/>
            </w:tcBorders>
            <w:shd w:val="clear" w:color="auto" w:fill="100249"/>
            <w:vAlign w:val="center"/>
          </w:tcPr>
          <w:p w14:paraId="299AD983" w14:textId="77777777" w:rsidR="00C90BCA" w:rsidRDefault="00C90BCA" w:rsidP="00E03DE5">
            <w:pPr>
              <w:pStyle w:val="TableHeader1"/>
              <w:jc w:val="center"/>
            </w:pPr>
            <w:r>
              <w:t>Year 11</w:t>
            </w:r>
          </w:p>
        </w:tc>
        <w:tc>
          <w:tcPr>
            <w:tcW w:w="701" w:type="pct"/>
            <w:tcBorders>
              <w:left w:val="single" w:sz="4" w:space="0" w:color="FFFFFF" w:themeColor="background1"/>
              <w:bottom w:val="single" w:sz="4" w:space="0" w:color="auto"/>
              <w:right w:val="single" w:sz="4" w:space="0" w:color="FFFFFF" w:themeColor="background1"/>
            </w:tcBorders>
            <w:shd w:val="clear" w:color="auto" w:fill="100249"/>
            <w:vAlign w:val="center"/>
          </w:tcPr>
          <w:p w14:paraId="34972E6A" w14:textId="77777777" w:rsidR="00C90BCA" w:rsidRDefault="00C90BCA" w:rsidP="00E03DE5">
            <w:pPr>
              <w:pStyle w:val="TableHeader1"/>
              <w:jc w:val="center"/>
            </w:pPr>
            <w:r>
              <w:t>Year 12</w:t>
            </w:r>
          </w:p>
        </w:tc>
      </w:tr>
      <w:tr w:rsidR="00C90BCA" w14:paraId="46D950A5" w14:textId="77777777" w:rsidTr="007E506D">
        <w:trPr>
          <w:trHeight w:val="1088"/>
          <w:jc w:val="center"/>
        </w:trPr>
        <w:tc>
          <w:tcPr>
            <w:tcW w:w="799" w:type="pct"/>
            <w:vMerge/>
            <w:tcBorders>
              <w:left w:val="single" w:sz="4" w:space="0" w:color="FFFFFF" w:themeColor="background1"/>
              <w:right w:val="single" w:sz="4" w:space="0" w:color="FFFFFF" w:themeColor="background1"/>
            </w:tcBorders>
            <w:shd w:val="clear" w:color="auto" w:fill="100249"/>
            <w:vAlign w:val="center"/>
          </w:tcPr>
          <w:p w14:paraId="6E361EE1" w14:textId="77777777" w:rsidR="00C90BCA" w:rsidRDefault="00C90BCA" w:rsidP="00E03DE5">
            <w:pPr>
              <w:spacing w:before="40" w:after="40" w:line="240" w:lineRule="auto"/>
              <w:jc w:val="center"/>
            </w:pPr>
          </w:p>
        </w:tc>
        <w:tc>
          <w:tcPr>
            <w:tcW w:w="4201" w:type="pct"/>
            <w:gridSpan w:val="6"/>
            <w:tcBorders>
              <w:left w:val="single" w:sz="4" w:space="0" w:color="FFFFFF" w:themeColor="background1"/>
            </w:tcBorders>
            <w:shd w:val="clear" w:color="auto" w:fill="00BAC0"/>
            <w:vAlign w:val="center"/>
          </w:tcPr>
          <w:p w14:paraId="2D4B81B2" w14:textId="77777777" w:rsidR="00C90BCA" w:rsidRDefault="00C90BCA" w:rsidP="00E03DE5">
            <w:pPr>
              <w:spacing w:before="40" w:after="40" w:line="240" w:lineRule="auto"/>
              <w:jc w:val="center"/>
            </w:pPr>
          </w:p>
          <w:p w14:paraId="44BB4921" w14:textId="77777777" w:rsidR="00C90BCA" w:rsidRDefault="00C90BCA" w:rsidP="00E03DE5">
            <w:pPr>
              <w:pStyle w:val="TableText"/>
              <w:jc w:val="center"/>
              <w:rPr>
                <w:b/>
              </w:rPr>
            </w:pPr>
          </w:p>
          <w:p w14:paraId="5FF14B0E" w14:textId="739584FD" w:rsidR="00C90BCA" w:rsidRDefault="00C90BCA" w:rsidP="00E03DE5">
            <w:pPr>
              <w:spacing w:before="40" w:after="40" w:line="240" w:lineRule="auto"/>
              <w:jc w:val="center"/>
            </w:pPr>
            <w:r w:rsidRPr="0026579C">
              <w:rPr>
                <w:b/>
                <w:color w:val="FFFFFF" w:themeColor="background1"/>
              </w:rPr>
              <w:t>English language requirement</w:t>
            </w:r>
            <w:r>
              <w:rPr>
                <w:b/>
                <w:color w:val="FFFFFF" w:themeColor="background1"/>
              </w:rPr>
              <w:t>s</w:t>
            </w:r>
            <w:r w:rsidR="00AD15EB">
              <w:rPr>
                <w:b/>
                <w:color w:val="FFFFFF" w:themeColor="background1"/>
              </w:rPr>
              <w:t xml:space="preserve"> – Standard Students</w:t>
            </w:r>
          </w:p>
        </w:tc>
      </w:tr>
      <w:tr w:rsidR="00C90BCA" w14:paraId="553C7BDD" w14:textId="77777777" w:rsidTr="007E506D">
        <w:trPr>
          <w:jc w:val="center"/>
        </w:trPr>
        <w:tc>
          <w:tcPr>
            <w:tcW w:w="799" w:type="pct"/>
            <w:vAlign w:val="center"/>
          </w:tcPr>
          <w:p w14:paraId="19F7ADC0" w14:textId="77777777" w:rsidR="00C90BCA" w:rsidRDefault="00C90BCA" w:rsidP="00E03DE5">
            <w:pPr>
              <w:pStyle w:val="TableText"/>
            </w:pPr>
            <w:r w:rsidRPr="00352378">
              <w:rPr>
                <w:b/>
                <w:bCs/>
              </w:rPr>
              <w:t>IELTS or IELTS Indicator**</w:t>
            </w:r>
          </w:p>
        </w:tc>
        <w:tc>
          <w:tcPr>
            <w:tcW w:w="700" w:type="pct"/>
            <w:vAlign w:val="center"/>
          </w:tcPr>
          <w:p w14:paraId="4DD15021" w14:textId="77777777" w:rsidR="00C90BCA" w:rsidRPr="00F56674" w:rsidRDefault="00C90BCA" w:rsidP="007E506D">
            <w:pPr>
              <w:pStyle w:val="TableText"/>
              <w:jc w:val="center"/>
            </w:pPr>
            <w:r w:rsidRPr="00F56674">
              <w:t>5</w:t>
            </w:r>
          </w:p>
        </w:tc>
        <w:tc>
          <w:tcPr>
            <w:tcW w:w="700" w:type="pct"/>
            <w:vAlign w:val="center"/>
          </w:tcPr>
          <w:p w14:paraId="71FBD05C" w14:textId="77777777" w:rsidR="00C90BCA" w:rsidRPr="00F56674" w:rsidRDefault="00C90BCA" w:rsidP="007E506D">
            <w:pPr>
              <w:pStyle w:val="TableText"/>
              <w:jc w:val="center"/>
            </w:pPr>
            <w:r w:rsidRPr="00F56674">
              <w:t>5</w:t>
            </w:r>
          </w:p>
        </w:tc>
        <w:tc>
          <w:tcPr>
            <w:tcW w:w="700" w:type="pct"/>
            <w:vAlign w:val="center"/>
          </w:tcPr>
          <w:p w14:paraId="64755979" w14:textId="77777777" w:rsidR="00C90BCA" w:rsidRPr="00F56674" w:rsidRDefault="00C90BCA" w:rsidP="007E506D">
            <w:pPr>
              <w:pStyle w:val="TableText"/>
              <w:jc w:val="center"/>
            </w:pPr>
            <w:r w:rsidRPr="00F56674">
              <w:t>5</w:t>
            </w:r>
          </w:p>
        </w:tc>
        <w:tc>
          <w:tcPr>
            <w:tcW w:w="700" w:type="pct"/>
            <w:vAlign w:val="center"/>
          </w:tcPr>
          <w:p w14:paraId="04F66122" w14:textId="77777777" w:rsidR="00C90BCA" w:rsidRPr="00F56674" w:rsidRDefault="00C90BCA" w:rsidP="007E506D">
            <w:pPr>
              <w:pStyle w:val="TableText"/>
              <w:jc w:val="center"/>
            </w:pPr>
            <w:r w:rsidRPr="00F56674">
              <w:t>5.5</w:t>
            </w:r>
          </w:p>
        </w:tc>
        <w:tc>
          <w:tcPr>
            <w:tcW w:w="700" w:type="pct"/>
            <w:vAlign w:val="center"/>
          </w:tcPr>
          <w:p w14:paraId="7AF91796" w14:textId="77777777" w:rsidR="00C90BCA" w:rsidRPr="00F56674" w:rsidRDefault="00C90BCA" w:rsidP="007E506D">
            <w:pPr>
              <w:pStyle w:val="TableText"/>
              <w:jc w:val="center"/>
            </w:pPr>
            <w:r>
              <w:t>6.0</w:t>
            </w:r>
          </w:p>
        </w:tc>
        <w:tc>
          <w:tcPr>
            <w:tcW w:w="701" w:type="pct"/>
            <w:vAlign w:val="center"/>
          </w:tcPr>
          <w:p w14:paraId="410AC536" w14:textId="77777777" w:rsidR="00C90BCA" w:rsidRPr="00F56674" w:rsidRDefault="00C90BCA" w:rsidP="007E506D">
            <w:pPr>
              <w:pStyle w:val="TableText"/>
              <w:jc w:val="center"/>
            </w:pPr>
            <w:r>
              <w:t>6.0</w:t>
            </w:r>
          </w:p>
        </w:tc>
      </w:tr>
      <w:tr w:rsidR="00C90BCA" w14:paraId="3CE989CC" w14:textId="77777777" w:rsidTr="007E506D">
        <w:trPr>
          <w:jc w:val="center"/>
        </w:trPr>
        <w:tc>
          <w:tcPr>
            <w:tcW w:w="799" w:type="pct"/>
            <w:vAlign w:val="center"/>
          </w:tcPr>
          <w:p w14:paraId="0C689F8F" w14:textId="77777777" w:rsidR="00C90BCA" w:rsidRPr="00F56674" w:rsidRDefault="00C90BCA" w:rsidP="00E03DE5">
            <w:pPr>
              <w:pStyle w:val="TableText"/>
              <w:rPr>
                <w:b/>
              </w:rPr>
            </w:pPr>
            <w:r w:rsidRPr="00F56674">
              <w:rPr>
                <w:b/>
              </w:rPr>
              <w:t xml:space="preserve">AEAS </w:t>
            </w:r>
          </w:p>
        </w:tc>
        <w:tc>
          <w:tcPr>
            <w:tcW w:w="700" w:type="pct"/>
            <w:vAlign w:val="center"/>
          </w:tcPr>
          <w:p w14:paraId="24BDF55C" w14:textId="77777777" w:rsidR="00C90BCA" w:rsidRPr="00F56674" w:rsidRDefault="00C90BCA" w:rsidP="007E506D">
            <w:pPr>
              <w:pStyle w:val="TableText"/>
              <w:jc w:val="center"/>
            </w:pPr>
            <w:r>
              <w:t>46-56</w:t>
            </w:r>
          </w:p>
        </w:tc>
        <w:tc>
          <w:tcPr>
            <w:tcW w:w="700" w:type="pct"/>
            <w:vAlign w:val="center"/>
          </w:tcPr>
          <w:p w14:paraId="267A9E0B" w14:textId="77777777" w:rsidR="00C90BCA" w:rsidRPr="00F56674" w:rsidRDefault="00C90BCA" w:rsidP="007E506D">
            <w:pPr>
              <w:pStyle w:val="TableText"/>
              <w:jc w:val="center"/>
            </w:pPr>
            <w:r>
              <w:t>46-56</w:t>
            </w:r>
          </w:p>
        </w:tc>
        <w:tc>
          <w:tcPr>
            <w:tcW w:w="700" w:type="pct"/>
            <w:vAlign w:val="center"/>
          </w:tcPr>
          <w:p w14:paraId="490DDABF" w14:textId="77777777" w:rsidR="00C90BCA" w:rsidRPr="00F56674" w:rsidRDefault="00C90BCA" w:rsidP="007E506D">
            <w:pPr>
              <w:pStyle w:val="TableText"/>
              <w:jc w:val="center"/>
            </w:pPr>
            <w:r>
              <w:t>46-56</w:t>
            </w:r>
          </w:p>
        </w:tc>
        <w:tc>
          <w:tcPr>
            <w:tcW w:w="700" w:type="pct"/>
            <w:vAlign w:val="center"/>
          </w:tcPr>
          <w:p w14:paraId="338DA78E" w14:textId="77777777" w:rsidR="00C90BCA" w:rsidRPr="00F56674" w:rsidRDefault="00C90BCA" w:rsidP="007E506D">
            <w:pPr>
              <w:pStyle w:val="TableText"/>
              <w:jc w:val="center"/>
            </w:pPr>
            <w:r>
              <w:t>57-</w:t>
            </w:r>
            <w:r w:rsidRPr="00756231">
              <w:t>66</w:t>
            </w:r>
          </w:p>
        </w:tc>
        <w:tc>
          <w:tcPr>
            <w:tcW w:w="700" w:type="pct"/>
            <w:vAlign w:val="center"/>
          </w:tcPr>
          <w:p w14:paraId="5C61C814" w14:textId="77777777" w:rsidR="00C90BCA" w:rsidRPr="00F56674" w:rsidRDefault="00C90BCA" w:rsidP="007E506D">
            <w:pPr>
              <w:pStyle w:val="TableText"/>
              <w:jc w:val="center"/>
            </w:pPr>
            <w:r w:rsidRPr="00756231">
              <w:t>6</w:t>
            </w:r>
            <w:r>
              <w:t>7 and above</w:t>
            </w:r>
          </w:p>
        </w:tc>
        <w:tc>
          <w:tcPr>
            <w:tcW w:w="701" w:type="pct"/>
            <w:vAlign w:val="center"/>
          </w:tcPr>
          <w:p w14:paraId="2E458AC6" w14:textId="77777777" w:rsidR="00C90BCA" w:rsidRPr="00F56674" w:rsidRDefault="00C90BCA" w:rsidP="007E506D">
            <w:pPr>
              <w:pStyle w:val="TableText"/>
              <w:jc w:val="center"/>
            </w:pPr>
            <w:r w:rsidRPr="00756231">
              <w:t>6</w:t>
            </w:r>
            <w:r>
              <w:t>7 and above</w:t>
            </w:r>
          </w:p>
        </w:tc>
      </w:tr>
      <w:tr w:rsidR="00C90BCA" w14:paraId="032DC065" w14:textId="77777777" w:rsidTr="007E506D">
        <w:trPr>
          <w:jc w:val="center"/>
        </w:trPr>
        <w:tc>
          <w:tcPr>
            <w:tcW w:w="799" w:type="pct"/>
            <w:vAlign w:val="center"/>
          </w:tcPr>
          <w:p w14:paraId="665835F7" w14:textId="77777777" w:rsidR="00C90BCA" w:rsidRDefault="00C90BCA" w:rsidP="00E03DE5">
            <w:pPr>
              <w:pStyle w:val="TableText"/>
            </w:pPr>
            <w:r w:rsidRPr="00352378">
              <w:rPr>
                <w:b/>
                <w:bCs/>
              </w:rPr>
              <w:t xml:space="preserve">TOEFL iBT or </w:t>
            </w:r>
            <w:r w:rsidRPr="00352378">
              <w:rPr>
                <w:b/>
                <w:bCs/>
                <w:color w:val="000000" w:themeColor="text1"/>
              </w:rPr>
              <w:t>Special Home Edition**</w:t>
            </w:r>
          </w:p>
        </w:tc>
        <w:tc>
          <w:tcPr>
            <w:tcW w:w="700" w:type="pct"/>
            <w:vAlign w:val="center"/>
          </w:tcPr>
          <w:p w14:paraId="611B4348" w14:textId="77777777" w:rsidR="00C90BCA" w:rsidRPr="00F56674" w:rsidRDefault="00C90BCA" w:rsidP="007E506D">
            <w:pPr>
              <w:pStyle w:val="TableText"/>
              <w:jc w:val="center"/>
            </w:pPr>
            <w:r>
              <w:t>35-45</w:t>
            </w:r>
          </w:p>
        </w:tc>
        <w:tc>
          <w:tcPr>
            <w:tcW w:w="700" w:type="pct"/>
            <w:vAlign w:val="center"/>
          </w:tcPr>
          <w:p w14:paraId="6DF11957" w14:textId="77777777" w:rsidR="00C90BCA" w:rsidRPr="00F56674" w:rsidRDefault="00C90BCA" w:rsidP="007E506D">
            <w:pPr>
              <w:pStyle w:val="TableText"/>
              <w:jc w:val="center"/>
            </w:pPr>
            <w:r>
              <w:t>35-45</w:t>
            </w:r>
          </w:p>
        </w:tc>
        <w:tc>
          <w:tcPr>
            <w:tcW w:w="700" w:type="pct"/>
            <w:vAlign w:val="center"/>
          </w:tcPr>
          <w:p w14:paraId="556605EE" w14:textId="77777777" w:rsidR="00C90BCA" w:rsidRPr="00F56674" w:rsidRDefault="00C90BCA" w:rsidP="007E506D">
            <w:pPr>
              <w:pStyle w:val="TableText"/>
              <w:jc w:val="center"/>
            </w:pPr>
            <w:r>
              <w:t>35-45</w:t>
            </w:r>
          </w:p>
        </w:tc>
        <w:tc>
          <w:tcPr>
            <w:tcW w:w="700" w:type="pct"/>
            <w:vAlign w:val="center"/>
          </w:tcPr>
          <w:p w14:paraId="45FE67E2" w14:textId="77777777" w:rsidR="00C90BCA" w:rsidRPr="00F56674" w:rsidRDefault="00C90BCA" w:rsidP="007E506D">
            <w:pPr>
              <w:pStyle w:val="TableText"/>
              <w:jc w:val="center"/>
            </w:pPr>
            <w:r>
              <w:t>46-59</w:t>
            </w:r>
          </w:p>
        </w:tc>
        <w:tc>
          <w:tcPr>
            <w:tcW w:w="700" w:type="pct"/>
            <w:vAlign w:val="center"/>
          </w:tcPr>
          <w:p w14:paraId="4BE41C92" w14:textId="77777777" w:rsidR="00C90BCA" w:rsidRPr="00F56674" w:rsidRDefault="00C90BCA" w:rsidP="007E506D">
            <w:pPr>
              <w:pStyle w:val="TableText"/>
              <w:jc w:val="center"/>
            </w:pPr>
            <w:r>
              <w:t>60-78</w:t>
            </w:r>
          </w:p>
        </w:tc>
        <w:tc>
          <w:tcPr>
            <w:tcW w:w="701" w:type="pct"/>
            <w:vAlign w:val="center"/>
          </w:tcPr>
          <w:p w14:paraId="0928F438" w14:textId="77777777" w:rsidR="00C90BCA" w:rsidRPr="00F56674" w:rsidRDefault="00C90BCA" w:rsidP="007E506D">
            <w:pPr>
              <w:pStyle w:val="TableText"/>
              <w:jc w:val="center"/>
            </w:pPr>
            <w:r>
              <w:t>60-78</w:t>
            </w:r>
          </w:p>
        </w:tc>
      </w:tr>
      <w:tr w:rsidR="00C90BCA" w14:paraId="4DF898F1" w14:textId="77777777" w:rsidTr="007E506D">
        <w:trPr>
          <w:jc w:val="center"/>
        </w:trPr>
        <w:tc>
          <w:tcPr>
            <w:tcW w:w="799" w:type="pct"/>
            <w:vAlign w:val="center"/>
          </w:tcPr>
          <w:p w14:paraId="0D3A9113" w14:textId="77777777" w:rsidR="00C90BCA" w:rsidRPr="00352378" w:rsidRDefault="00C90BCA" w:rsidP="00E03DE5">
            <w:pPr>
              <w:pStyle w:val="TableText"/>
              <w:rPr>
                <w:b/>
                <w:bCs/>
              </w:rPr>
            </w:pPr>
            <w:r w:rsidRPr="00352378">
              <w:rPr>
                <w:b/>
                <w:bCs/>
              </w:rPr>
              <w:t>TOEFL</w:t>
            </w:r>
            <w:r>
              <w:rPr>
                <w:b/>
                <w:bCs/>
              </w:rPr>
              <w:t xml:space="preserve"> Essentials</w:t>
            </w:r>
          </w:p>
        </w:tc>
        <w:tc>
          <w:tcPr>
            <w:tcW w:w="700" w:type="pct"/>
            <w:vAlign w:val="center"/>
          </w:tcPr>
          <w:p w14:paraId="1ADC4A18" w14:textId="77777777" w:rsidR="00C90BCA" w:rsidRPr="00F56674" w:rsidRDefault="00C90BCA" w:rsidP="007E506D">
            <w:pPr>
              <w:pStyle w:val="TableText"/>
              <w:jc w:val="center"/>
            </w:pPr>
            <w:r w:rsidRPr="00665740">
              <w:t>5–7.5</w:t>
            </w:r>
          </w:p>
        </w:tc>
        <w:tc>
          <w:tcPr>
            <w:tcW w:w="700" w:type="pct"/>
            <w:vAlign w:val="center"/>
          </w:tcPr>
          <w:p w14:paraId="10132A11" w14:textId="77777777" w:rsidR="00C90BCA" w:rsidRPr="00F56674" w:rsidRDefault="00C90BCA" w:rsidP="007E506D">
            <w:pPr>
              <w:pStyle w:val="TableText"/>
              <w:jc w:val="center"/>
            </w:pPr>
            <w:r w:rsidRPr="00665740">
              <w:t>5–7.5</w:t>
            </w:r>
          </w:p>
        </w:tc>
        <w:tc>
          <w:tcPr>
            <w:tcW w:w="700" w:type="pct"/>
            <w:vAlign w:val="center"/>
          </w:tcPr>
          <w:p w14:paraId="4A4190F9" w14:textId="77777777" w:rsidR="00C90BCA" w:rsidRPr="00F56674" w:rsidRDefault="00C90BCA" w:rsidP="007E506D">
            <w:pPr>
              <w:pStyle w:val="TableText"/>
              <w:jc w:val="center"/>
            </w:pPr>
            <w:r w:rsidRPr="00665740">
              <w:t>5–7.5</w:t>
            </w:r>
          </w:p>
        </w:tc>
        <w:tc>
          <w:tcPr>
            <w:tcW w:w="700" w:type="pct"/>
            <w:vAlign w:val="center"/>
          </w:tcPr>
          <w:p w14:paraId="50638AE4" w14:textId="77777777" w:rsidR="00C90BCA" w:rsidRPr="00F56674" w:rsidRDefault="00C90BCA" w:rsidP="007E506D">
            <w:pPr>
              <w:pStyle w:val="TableText"/>
              <w:jc w:val="center"/>
            </w:pPr>
            <w:r w:rsidRPr="00665740">
              <w:t>5–7.5</w:t>
            </w:r>
          </w:p>
        </w:tc>
        <w:tc>
          <w:tcPr>
            <w:tcW w:w="700" w:type="pct"/>
            <w:vAlign w:val="center"/>
          </w:tcPr>
          <w:p w14:paraId="15D43AAD" w14:textId="77777777" w:rsidR="00C90BCA" w:rsidRPr="00F56674" w:rsidRDefault="00C90BCA" w:rsidP="007E506D">
            <w:pPr>
              <w:pStyle w:val="TableText"/>
              <w:jc w:val="center"/>
            </w:pPr>
            <w:r w:rsidRPr="00665740">
              <w:t>7.5</w:t>
            </w:r>
          </w:p>
        </w:tc>
        <w:tc>
          <w:tcPr>
            <w:tcW w:w="701" w:type="pct"/>
            <w:vAlign w:val="center"/>
          </w:tcPr>
          <w:p w14:paraId="09DBBD44" w14:textId="77777777" w:rsidR="00C90BCA" w:rsidRPr="00F56674" w:rsidRDefault="00C90BCA" w:rsidP="007E506D">
            <w:pPr>
              <w:pStyle w:val="TableText"/>
              <w:jc w:val="center"/>
            </w:pPr>
            <w:r>
              <w:rPr>
                <w:rFonts w:ascii="SofiaProRegular" w:eastAsiaTheme="minorEastAsia" w:hAnsi="SofiaProRegular" w:cs="SofiaProRegular"/>
                <w:color w:val="auto"/>
                <w:szCs w:val="18"/>
              </w:rPr>
              <w:t>7.5</w:t>
            </w:r>
          </w:p>
        </w:tc>
      </w:tr>
      <w:tr w:rsidR="00C90BCA" w14:paraId="46714C9D" w14:textId="77777777" w:rsidTr="007E506D">
        <w:trPr>
          <w:jc w:val="center"/>
        </w:trPr>
        <w:tc>
          <w:tcPr>
            <w:tcW w:w="799" w:type="pct"/>
            <w:vAlign w:val="center"/>
          </w:tcPr>
          <w:p w14:paraId="55103B14" w14:textId="77777777" w:rsidR="00C90BCA" w:rsidRPr="00F56674" w:rsidRDefault="00C90BCA" w:rsidP="00E03DE5">
            <w:pPr>
              <w:pStyle w:val="TableText"/>
              <w:rPr>
                <w:b/>
              </w:rPr>
            </w:pPr>
            <w:r w:rsidRPr="00F56674">
              <w:rPr>
                <w:b/>
              </w:rPr>
              <w:t xml:space="preserve">EIKEN </w:t>
            </w:r>
          </w:p>
        </w:tc>
        <w:tc>
          <w:tcPr>
            <w:tcW w:w="700" w:type="pct"/>
            <w:vAlign w:val="center"/>
          </w:tcPr>
          <w:p w14:paraId="6AB74CD3" w14:textId="77777777" w:rsidR="00C90BCA" w:rsidRPr="00F56674" w:rsidRDefault="00C90BCA" w:rsidP="007E506D">
            <w:pPr>
              <w:pStyle w:val="TableText"/>
              <w:jc w:val="center"/>
              <w:rPr>
                <w:highlight w:val="yellow"/>
              </w:rPr>
            </w:pPr>
            <w:r w:rsidRPr="00240766">
              <w:t>Grade 3</w:t>
            </w:r>
          </w:p>
        </w:tc>
        <w:tc>
          <w:tcPr>
            <w:tcW w:w="700" w:type="pct"/>
            <w:vAlign w:val="center"/>
          </w:tcPr>
          <w:p w14:paraId="150B1D56" w14:textId="77777777" w:rsidR="00C90BCA" w:rsidRPr="00F56674" w:rsidRDefault="00C90BCA" w:rsidP="007E506D">
            <w:pPr>
              <w:pStyle w:val="TableText"/>
              <w:jc w:val="center"/>
              <w:rPr>
                <w:highlight w:val="yellow"/>
              </w:rPr>
            </w:pPr>
            <w:r w:rsidRPr="00240766">
              <w:t>Grade 3</w:t>
            </w:r>
          </w:p>
        </w:tc>
        <w:tc>
          <w:tcPr>
            <w:tcW w:w="700" w:type="pct"/>
            <w:vAlign w:val="center"/>
          </w:tcPr>
          <w:p w14:paraId="6671282F" w14:textId="77777777" w:rsidR="00C90BCA" w:rsidRPr="00F56674" w:rsidRDefault="00C90BCA" w:rsidP="007E506D">
            <w:pPr>
              <w:pStyle w:val="TableText"/>
              <w:jc w:val="center"/>
              <w:rPr>
                <w:highlight w:val="yellow"/>
              </w:rPr>
            </w:pPr>
            <w:r w:rsidRPr="00240766">
              <w:t>Grade 3</w:t>
            </w:r>
          </w:p>
        </w:tc>
        <w:tc>
          <w:tcPr>
            <w:tcW w:w="700" w:type="pct"/>
            <w:vAlign w:val="center"/>
          </w:tcPr>
          <w:p w14:paraId="1E1F78E7" w14:textId="77777777" w:rsidR="00C90BCA" w:rsidRPr="00F56674" w:rsidRDefault="00C90BCA" w:rsidP="007E506D">
            <w:pPr>
              <w:pStyle w:val="TableText"/>
              <w:jc w:val="center"/>
            </w:pPr>
            <w:r w:rsidRPr="00F56674">
              <w:t>Grade 3</w:t>
            </w:r>
          </w:p>
        </w:tc>
        <w:tc>
          <w:tcPr>
            <w:tcW w:w="700" w:type="pct"/>
            <w:vAlign w:val="center"/>
          </w:tcPr>
          <w:p w14:paraId="386E09FD" w14:textId="77777777" w:rsidR="00C90BCA" w:rsidRPr="00F56674" w:rsidRDefault="00C90BCA" w:rsidP="007E506D">
            <w:pPr>
              <w:pStyle w:val="TableText"/>
              <w:jc w:val="center"/>
            </w:pPr>
            <w:r w:rsidRPr="00F56674">
              <w:t>Grade 2</w:t>
            </w:r>
            <w:r>
              <w:t>A</w:t>
            </w:r>
          </w:p>
        </w:tc>
        <w:tc>
          <w:tcPr>
            <w:tcW w:w="701" w:type="pct"/>
            <w:vAlign w:val="center"/>
          </w:tcPr>
          <w:p w14:paraId="7082011B" w14:textId="77777777" w:rsidR="00C90BCA" w:rsidRPr="00F56674" w:rsidRDefault="00C90BCA" w:rsidP="007E506D">
            <w:pPr>
              <w:pStyle w:val="TableText"/>
              <w:jc w:val="center"/>
            </w:pPr>
            <w:r w:rsidRPr="00D61CB3">
              <w:t>Grade 2</w:t>
            </w:r>
            <w:r>
              <w:t>A</w:t>
            </w:r>
          </w:p>
        </w:tc>
      </w:tr>
      <w:tr w:rsidR="00C95F89" w14:paraId="397B2202" w14:textId="77777777" w:rsidTr="007E506D">
        <w:trPr>
          <w:jc w:val="center"/>
        </w:trPr>
        <w:tc>
          <w:tcPr>
            <w:tcW w:w="799" w:type="pct"/>
            <w:vAlign w:val="center"/>
          </w:tcPr>
          <w:p w14:paraId="0394FAC8" w14:textId="77777777" w:rsidR="00C95F89" w:rsidRPr="00F56674" w:rsidRDefault="00C95F89" w:rsidP="00C95F89">
            <w:pPr>
              <w:pStyle w:val="TableText"/>
              <w:rPr>
                <w:b/>
              </w:rPr>
            </w:pPr>
            <w:proofErr w:type="spellStart"/>
            <w:r>
              <w:rPr>
                <w:b/>
              </w:rPr>
              <w:t>iDAT</w:t>
            </w:r>
            <w:proofErr w:type="spellEnd"/>
          </w:p>
        </w:tc>
        <w:tc>
          <w:tcPr>
            <w:tcW w:w="700" w:type="pct"/>
            <w:vAlign w:val="center"/>
          </w:tcPr>
          <w:p w14:paraId="056572AC" w14:textId="7269D561" w:rsidR="00C95F89" w:rsidRPr="00240766" w:rsidRDefault="00C95F89" w:rsidP="007E506D">
            <w:pPr>
              <w:pStyle w:val="TableText"/>
              <w:jc w:val="center"/>
            </w:pPr>
            <w:r>
              <w:t>60-70%</w:t>
            </w:r>
          </w:p>
        </w:tc>
        <w:tc>
          <w:tcPr>
            <w:tcW w:w="700" w:type="pct"/>
            <w:vAlign w:val="center"/>
          </w:tcPr>
          <w:p w14:paraId="1FECE3D0" w14:textId="63FCF8FF" w:rsidR="00C95F89" w:rsidRPr="00240766" w:rsidRDefault="00C95F89" w:rsidP="007E506D">
            <w:pPr>
              <w:pStyle w:val="TableText"/>
              <w:jc w:val="center"/>
            </w:pPr>
            <w:r w:rsidRPr="00F0591E">
              <w:t>60-70%</w:t>
            </w:r>
          </w:p>
        </w:tc>
        <w:tc>
          <w:tcPr>
            <w:tcW w:w="700" w:type="pct"/>
            <w:vAlign w:val="center"/>
          </w:tcPr>
          <w:p w14:paraId="5DEC664C" w14:textId="60FE7CBF" w:rsidR="00C95F89" w:rsidRPr="00240766" w:rsidRDefault="00C95F89" w:rsidP="007E506D">
            <w:pPr>
              <w:pStyle w:val="TableText"/>
              <w:jc w:val="center"/>
            </w:pPr>
            <w:r w:rsidRPr="00F0591E">
              <w:t>60-70%</w:t>
            </w:r>
          </w:p>
        </w:tc>
        <w:tc>
          <w:tcPr>
            <w:tcW w:w="700" w:type="pct"/>
            <w:vAlign w:val="center"/>
          </w:tcPr>
          <w:p w14:paraId="511D533D" w14:textId="5101B9CC" w:rsidR="00C95F89" w:rsidRPr="00F56674" w:rsidRDefault="00C95F89" w:rsidP="007E506D">
            <w:pPr>
              <w:pStyle w:val="TableText"/>
              <w:jc w:val="center"/>
            </w:pPr>
            <w:r>
              <w:t>60-70%</w:t>
            </w:r>
          </w:p>
        </w:tc>
        <w:tc>
          <w:tcPr>
            <w:tcW w:w="700" w:type="pct"/>
            <w:vAlign w:val="center"/>
          </w:tcPr>
          <w:p w14:paraId="6D0F3EFF" w14:textId="77777777" w:rsidR="00C95F89" w:rsidRPr="00F56674" w:rsidRDefault="00C95F89" w:rsidP="007E506D">
            <w:pPr>
              <w:pStyle w:val="TableText"/>
              <w:jc w:val="center"/>
            </w:pPr>
            <w:r w:rsidRPr="00C1131C">
              <w:t>70-80%</w:t>
            </w:r>
          </w:p>
        </w:tc>
        <w:tc>
          <w:tcPr>
            <w:tcW w:w="701" w:type="pct"/>
            <w:vAlign w:val="center"/>
          </w:tcPr>
          <w:p w14:paraId="7CF0B5CB" w14:textId="77777777" w:rsidR="00C95F89" w:rsidRPr="00D61CB3" w:rsidRDefault="00C95F89" w:rsidP="007E506D">
            <w:pPr>
              <w:pStyle w:val="TableText"/>
              <w:jc w:val="center"/>
            </w:pPr>
            <w:r w:rsidRPr="00C1131C">
              <w:t>70-80%</w:t>
            </w:r>
          </w:p>
        </w:tc>
      </w:tr>
      <w:tr w:rsidR="00C90BCA" w14:paraId="75FEAFC3" w14:textId="77777777" w:rsidTr="007E506D">
        <w:trPr>
          <w:jc w:val="center"/>
        </w:trPr>
        <w:tc>
          <w:tcPr>
            <w:tcW w:w="799" w:type="pct"/>
            <w:vAlign w:val="center"/>
          </w:tcPr>
          <w:p w14:paraId="43D48AE8" w14:textId="77777777" w:rsidR="00C90BCA" w:rsidRDefault="00C90BCA" w:rsidP="00E03DE5">
            <w:pPr>
              <w:pStyle w:val="TableText"/>
              <w:rPr>
                <w:b/>
              </w:rPr>
            </w:pPr>
            <w:r>
              <w:rPr>
                <w:b/>
              </w:rPr>
              <w:t>PTE academic</w:t>
            </w:r>
          </w:p>
        </w:tc>
        <w:tc>
          <w:tcPr>
            <w:tcW w:w="700" w:type="pct"/>
            <w:vAlign w:val="center"/>
          </w:tcPr>
          <w:p w14:paraId="4BE1BA80" w14:textId="77777777" w:rsidR="00C90BCA" w:rsidRDefault="00C90BCA" w:rsidP="007E506D">
            <w:pPr>
              <w:pStyle w:val="TableText"/>
              <w:jc w:val="center"/>
            </w:pPr>
            <w:r>
              <w:t>29-36</w:t>
            </w:r>
          </w:p>
        </w:tc>
        <w:tc>
          <w:tcPr>
            <w:tcW w:w="700" w:type="pct"/>
            <w:vAlign w:val="center"/>
          </w:tcPr>
          <w:p w14:paraId="2DBCA0A2" w14:textId="77777777" w:rsidR="00C90BCA" w:rsidRPr="00C1131C" w:rsidRDefault="00C90BCA" w:rsidP="007E506D">
            <w:pPr>
              <w:pStyle w:val="TableText"/>
              <w:jc w:val="center"/>
            </w:pPr>
            <w:r>
              <w:t>29-36</w:t>
            </w:r>
          </w:p>
        </w:tc>
        <w:tc>
          <w:tcPr>
            <w:tcW w:w="700" w:type="pct"/>
            <w:vAlign w:val="center"/>
          </w:tcPr>
          <w:p w14:paraId="386B426A" w14:textId="77777777" w:rsidR="00C90BCA" w:rsidRPr="00C1131C" w:rsidRDefault="00C90BCA" w:rsidP="007E506D">
            <w:pPr>
              <w:pStyle w:val="TableText"/>
              <w:jc w:val="center"/>
            </w:pPr>
            <w:r>
              <w:t>29-36</w:t>
            </w:r>
          </w:p>
        </w:tc>
        <w:tc>
          <w:tcPr>
            <w:tcW w:w="700" w:type="pct"/>
            <w:vAlign w:val="center"/>
          </w:tcPr>
          <w:p w14:paraId="05DFB501" w14:textId="77777777" w:rsidR="00C90BCA" w:rsidRPr="00C1131C" w:rsidRDefault="00C90BCA" w:rsidP="007E506D">
            <w:pPr>
              <w:pStyle w:val="TableText"/>
              <w:jc w:val="center"/>
            </w:pPr>
            <w:r>
              <w:t>36-46</w:t>
            </w:r>
          </w:p>
        </w:tc>
        <w:tc>
          <w:tcPr>
            <w:tcW w:w="700" w:type="pct"/>
            <w:vAlign w:val="center"/>
          </w:tcPr>
          <w:p w14:paraId="722F8854" w14:textId="77777777" w:rsidR="00C90BCA" w:rsidRPr="00C1131C" w:rsidRDefault="00C90BCA" w:rsidP="007E506D">
            <w:pPr>
              <w:pStyle w:val="TableText"/>
              <w:jc w:val="center"/>
            </w:pPr>
            <w:r>
              <w:t>47 and above</w:t>
            </w:r>
          </w:p>
        </w:tc>
        <w:tc>
          <w:tcPr>
            <w:tcW w:w="701" w:type="pct"/>
            <w:vAlign w:val="center"/>
          </w:tcPr>
          <w:p w14:paraId="248DFBB9" w14:textId="77777777" w:rsidR="00C90BCA" w:rsidRPr="00C1131C" w:rsidRDefault="00C90BCA" w:rsidP="007E506D">
            <w:pPr>
              <w:pStyle w:val="TableText"/>
              <w:jc w:val="center"/>
            </w:pPr>
            <w:r>
              <w:t>47 and above</w:t>
            </w:r>
          </w:p>
        </w:tc>
      </w:tr>
      <w:tr w:rsidR="00C90BCA" w14:paraId="4C091659" w14:textId="77777777" w:rsidTr="007E506D">
        <w:trPr>
          <w:jc w:val="center"/>
        </w:trPr>
        <w:tc>
          <w:tcPr>
            <w:tcW w:w="799" w:type="pct"/>
            <w:vAlign w:val="center"/>
          </w:tcPr>
          <w:p w14:paraId="46A9B796" w14:textId="77777777" w:rsidR="00C90BCA" w:rsidRDefault="00C90BCA" w:rsidP="00E03DE5">
            <w:pPr>
              <w:pStyle w:val="TableText"/>
              <w:rPr>
                <w:b/>
              </w:rPr>
            </w:pPr>
            <w:r w:rsidRPr="00604872">
              <w:rPr>
                <w:b/>
              </w:rPr>
              <w:t>Cambridge B2 for Schools</w:t>
            </w:r>
          </w:p>
        </w:tc>
        <w:tc>
          <w:tcPr>
            <w:tcW w:w="700" w:type="pct"/>
            <w:vAlign w:val="center"/>
          </w:tcPr>
          <w:p w14:paraId="77F4D71F" w14:textId="77777777" w:rsidR="00C90BCA" w:rsidRDefault="00C90BCA" w:rsidP="007E506D">
            <w:pPr>
              <w:pStyle w:val="TableText"/>
              <w:jc w:val="center"/>
            </w:pPr>
            <w:r>
              <w:t>154-162</w:t>
            </w:r>
          </w:p>
        </w:tc>
        <w:tc>
          <w:tcPr>
            <w:tcW w:w="700" w:type="pct"/>
            <w:vAlign w:val="center"/>
          </w:tcPr>
          <w:p w14:paraId="06EDB41B" w14:textId="77777777" w:rsidR="00C90BCA" w:rsidRDefault="00C90BCA" w:rsidP="007E506D">
            <w:pPr>
              <w:pStyle w:val="TableText"/>
              <w:jc w:val="center"/>
            </w:pPr>
            <w:r>
              <w:t>154-162</w:t>
            </w:r>
          </w:p>
        </w:tc>
        <w:tc>
          <w:tcPr>
            <w:tcW w:w="700" w:type="pct"/>
            <w:vAlign w:val="center"/>
          </w:tcPr>
          <w:p w14:paraId="68231C64" w14:textId="77777777" w:rsidR="00C90BCA" w:rsidRDefault="00C90BCA" w:rsidP="007E506D">
            <w:pPr>
              <w:pStyle w:val="TableText"/>
              <w:jc w:val="center"/>
            </w:pPr>
            <w:r>
              <w:t>154-162</w:t>
            </w:r>
          </w:p>
        </w:tc>
        <w:tc>
          <w:tcPr>
            <w:tcW w:w="700" w:type="pct"/>
            <w:vAlign w:val="center"/>
          </w:tcPr>
          <w:p w14:paraId="26050517" w14:textId="77777777" w:rsidR="00C90BCA" w:rsidRDefault="00C90BCA" w:rsidP="007E506D">
            <w:pPr>
              <w:pStyle w:val="TableText"/>
              <w:jc w:val="center"/>
            </w:pPr>
            <w:r>
              <w:t>162-168</w:t>
            </w:r>
          </w:p>
        </w:tc>
        <w:tc>
          <w:tcPr>
            <w:tcW w:w="700" w:type="pct"/>
            <w:vAlign w:val="center"/>
          </w:tcPr>
          <w:p w14:paraId="29A11840" w14:textId="77777777" w:rsidR="00C90BCA" w:rsidRDefault="00C90BCA" w:rsidP="007E506D">
            <w:pPr>
              <w:pStyle w:val="TableText"/>
              <w:jc w:val="center"/>
            </w:pPr>
            <w:r>
              <w:t>169 and above</w:t>
            </w:r>
          </w:p>
        </w:tc>
        <w:tc>
          <w:tcPr>
            <w:tcW w:w="701" w:type="pct"/>
            <w:vAlign w:val="center"/>
          </w:tcPr>
          <w:p w14:paraId="242C2160" w14:textId="77777777" w:rsidR="00C90BCA" w:rsidRDefault="00C90BCA" w:rsidP="007E506D">
            <w:pPr>
              <w:pStyle w:val="TableText"/>
              <w:jc w:val="center"/>
            </w:pPr>
            <w:r>
              <w:t>169 and above</w:t>
            </w:r>
          </w:p>
        </w:tc>
      </w:tr>
      <w:tr w:rsidR="00C90BCA" w14:paraId="18937479" w14:textId="77777777" w:rsidTr="007E506D">
        <w:trPr>
          <w:jc w:val="center"/>
        </w:trPr>
        <w:tc>
          <w:tcPr>
            <w:tcW w:w="799" w:type="pct"/>
            <w:vAlign w:val="center"/>
          </w:tcPr>
          <w:p w14:paraId="13AB3032" w14:textId="77777777" w:rsidR="00C90BCA" w:rsidRPr="00F56674" w:rsidRDefault="00C90BCA" w:rsidP="00E03DE5">
            <w:pPr>
              <w:spacing w:before="40" w:after="40" w:line="240" w:lineRule="auto"/>
              <w:rPr>
                <w:b/>
              </w:rPr>
            </w:pPr>
            <w:r>
              <w:rPr>
                <w:b/>
              </w:rPr>
              <w:t>English-taught students</w:t>
            </w:r>
          </w:p>
        </w:tc>
        <w:tc>
          <w:tcPr>
            <w:tcW w:w="4201" w:type="pct"/>
            <w:gridSpan w:val="6"/>
            <w:vAlign w:val="center"/>
          </w:tcPr>
          <w:p w14:paraId="2964BC2B" w14:textId="6BF4360C" w:rsidR="00C90BCA" w:rsidRPr="00F56674" w:rsidRDefault="00C90BCA" w:rsidP="00E03DE5">
            <w:pPr>
              <w:pStyle w:val="BodyText"/>
            </w:pPr>
            <w:r>
              <w:t>Student has</w:t>
            </w:r>
            <w:r w:rsidRPr="00F56674">
              <w:t xml:space="preserve"> b</w:t>
            </w:r>
            <w:r w:rsidRPr="0084028B">
              <w:t>een tau</w:t>
            </w:r>
            <w:r w:rsidRPr="001C37AC">
              <w:t>ght at a school wher</w:t>
            </w:r>
            <w:r w:rsidRPr="00840742">
              <w:t>e English is the primary language of instruction</w:t>
            </w:r>
            <w:r w:rsidR="00DA262D">
              <w:t xml:space="preserve"> </w:t>
            </w:r>
            <w:r w:rsidR="00DA262D" w:rsidRPr="001C37AC">
              <w:t xml:space="preserve">for at least </w:t>
            </w:r>
            <w:r w:rsidR="005471DF">
              <w:t xml:space="preserve">the most recent </w:t>
            </w:r>
            <w:r w:rsidR="00DA262D" w:rsidRPr="001C37AC">
              <w:t>2 years</w:t>
            </w:r>
            <w:r w:rsidR="005471DF">
              <w:t xml:space="preserve"> of study</w:t>
            </w:r>
          </w:p>
        </w:tc>
      </w:tr>
      <w:tr w:rsidR="00C90BCA" w14:paraId="355E8AC9" w14:textId="77777777" w:rsidTr="007E506D">
        <w:trPr>
          <w:cantSplit/>
          <w:jc w:val="center"/>
        </w:trPr>
        <w:tc>
          <w:tcPr>
            <w:tcW w:w="799" w:type="pct"/>
            <w:vAlign w:val="center"/>
          </w:tcPr>
          <w:p w14:paraId="6BE7F7EF" w14:textId="77777777" w:rsidR="00C90BCA" w:rsidRPr="00F56674" w:rsidRDefault="00C90BCA" w:rsidP="00E03DE5">
            <w:pPr>
              <w:spacing w:before="40" w:after="40" w:line="240" w:lineRule="auto"/>
              <w:rPr>
                <w:b/>
              </w:rPr>
            </w:pPr>
            <w:r w:rsidRPr="00BD1666">
              <w:rPr>
                <w:b/>
              </w:rPr>
              <w:t xml:space="preserve">Successful completion of </w:t>
            </w:r>
            <w:r>
              <w:rPr>
                <w:b/>
              </w:rPr>
              <w:t>English language program</w:t>
            </w:r>
          </w:p>
        </w:tc>
        <w:tc>
          <w:tcPr>
            <w:tcW w:w="4201" w:type="pct"/>
            <w:gridSpan w:val="6"/>
            <w:vAlign w:val="center"/>
          </w:tcPr>
          <w:p w14:paraId="3D1F6B95" w14:textId="0A080BCC" w:rsidR="00C90BCA" w:rsidRDefault="00C90BCA" w:rsidP="00E03DE5">
            <w:pPr>
              <w:pStyle w:val="BodyText"/>
            </w:pPr>
            <w:r>
              <w:t xml:space="preserve">If the above requirements cannot be met, applicants can choose to undertake one of the following </w:t>
            </w:r>
            <w:r w:rsidR="007E506D">
              <w:t>to</w:t>
            </w:r>
            <w:r>
              <w:t xml:space="preserve"> meet their English language requirements:</w:t>
            </w:r>
          </w:p>
          <w:p w14:paraId="796F125C" w14:textId="77777777" w:rsidR="00C90BCA" w:rsidRDefault="00C90BCA" w:rsidP="00E03DE5">
            <w:pPr>
              <w:pStyle w:val="ListBullet"/>
            </w:pPr>
            <w:r>
              <w:t>undertake English language studies in a Victorian government school as part of their course, if available</w:t>
            </w:r>
          </w:p>
          <w:p w14:paraId="35204E75" w14:textId="211452F1" w:rsidR="00C90BCA" w:rsidRDefault="00C90BCA" w:rsidP="00E03DE5">
            <w:pPr>
              <w:pStyle w:val="ListBullet"/>
            </w:pPr>
            <w:r>
              <w:t xml:space="preserve">undertake an English language course in Victoria through another CRICOS-registered provider, face to face only. </w:t>
            </w:r>
          </w:p>
          <w:p w14:paraId="336E9BDF" w14:textId="77777777" w:rsidR="00C90BCA" w:rsidRPr="00F56674" w:rsidRDefault="00C90BCA" w:rsidP="00E03DE5">
            <w:pPr>
              <w:pStyle w:val="BodyText"/>
            </w:pPr>
            <w:r>
              <w:t xml:space="preserve">The duration of English language provision will normally be 20 or 21 weeks (two terms), depending on when the student commences in the school year. </w:t>
            </w:r>
          </w:p>
        </w:tc>
      </w:tr>
      <w:bookmarkEnd w:id="2"/>
    </w:tbl>
    <w:p w14:paraId="436D3680" w14:textId="77777777" w:rsidR="00C95F89" w:rsidRDefault="00C95F89" w:rsidP="00C95F89"/>
    <w:p w14:paraId="7AF554B9" w14:textId="77777777" w:rsidR="006F6B55" w:rsidRPr="00C95F89" w:rsidRDefault="006F6B55" w:rsidP="006F6B55">
      <w:pPr>
        <w:rPr>
          <w:color w:val="auto"/>
        </w:rPr>
      </w:pPr>
      <w:r w:rsidRPr="00C95F89">
        <w:rPr>
          <w:rFonts w:eastAsiaTheme="majorEastAsia" w:cstheme="majorBidi"/>
          <w:color w:val="auto"/>
        </w:rPr>
        <w:t xml:space="preserve">Schools can recommend an appropriate duration of English studies based on the result of an interview, with approval from </w:t>
      </w:r>
      <w:r>
        <w:rPr>
          <w:rFonts w:eastAsiaTheme="majorEastAsia" w:cstheme="majorBidi"/>
          <w:color w:val="auto"/>
        </w:rPr>
        <w:t>the manager of the Admissions and Agents Unit (AAU)</w:t>
      </w:r>
      <w:r w:rsidRPr="00C95F89">
        <w:rPr>
          <w:rFonts w:eastAsiaTheme="majorEastAsia" w:cstheme="majorBidi"/>
          <w:color w:val="auto"/>
        </w:rPr>
        <w:t>.</w:t>
      </w:r>
    </w:p>
    <w:p w14:paraId="4D031552" w14:textId="6F202762" w:rsidR="00B03588" w:rsidRPr="00C95F89" w:rsidRDefault="006F6B55" w:rsidP="00C95F89">
      <w:pPr>
        <w:rPr>
          <w:color w:val="auto"/>
        </w:rPr>
      </w:pPr>
      <w:r>
        <w:rPr>
          <w:color w:val="auto"/>
        </w:rPr>
        <w:t>S</w:t>
      </w:r>
      <w:r w:rsidR="00D16783" w:rsidRPr="006F6B55">
        <w:rPr>
          <w:color w:val="auto"/>
        </w:rPr>
        <w:t xml:space="preserve">chools can recommend additional English language studies if </w:t>
      </w:r>
      <w:r>
        <w:rPr>
          <w:color w:val="auto"/>
        </w:rPr>
        <w:t>after completion of ELC course</w:t>
      </w:r>
      <w:r w:rsidR="00B03588" w:rsidRPr="006F6B55">
        <w:rPr>
          <w:color w:val="auto"/>
        </w:rPr>
        <w:t xml:space="preserve"> the student’s English </w:t>
      </w:r>
      <w:r w:rsidR="00B03588" w:rsidRPr="00C95F89">
        <w:rPr>
          <w:color w:val="auto"/>
        </w:rPr>
        <w:t xml:space="preserve">language proficiency is still not sufficient for them to successfully undertake studies in </w:t>
      </w:r>
      <w:r w:rsidR="00193ECE">
        <w:rPr>
          <w:color w:val="auto"/>
        </w:rPr>
        <w:t xml:space="preserve">a </w:t>
      </w:r>
      <w:r w:rsidR="00B03588" w:rsidRPr="00C95F89">
        <w:rPr>
          <w:color w:val="auto"/>
        </w:rPr>
        <w:t>Victorian Government school.</w:t>
      </w:r>
    </w:p>
    <w:p w14:paraId="2992412A" w14:textId="27A1C334" w:rsidR="003D2AB2" w:rsidRDefault="003D2AB2" w:rsidP="003D2AB2">
      <w:pPr>
        <w:pStyle w:val="Heading3"/>
      </w:pPr>
      <w:r>
        <w:t>Other requirements</w:t>
      </w:r>
    </w:p>
    <w:p w14:paraId="76A52875" w14:textId="15AF6A88" w:rsidR="00524D17" w:rsidRDefault="00524D17" w:rsidP="003F6CB2">
      <w:pPr>
        <w:pStyle w:val="BodyText"/>
      </w:pPr>
      <w:r w:rsidRPr="00622791">
        <w:t xml:space="preserve">Applications from students who have previously had their enrolments cancelled by DE (IED) in accordance with the </w:t>
      </w:r>
      <w:hyperlink r:id="rId18" w:history="1">
        <w:r w:rsidRPr="00622791">
          <w:rPr>
            <w:rStyle w:val="Hyperlink"/>
          </w:rPr>
          <w:t>ISP Department-initiated Suspension and Cancellation Policy</w:t>
        </w:r>
      </w:hyperlink>
      <w:r w:rsidRPr="00622791">
        <w:t xml:space="preserve"> </w:t>
      </w:r>
      <w:r w:rsidR="00152C90" w:rsidRPr="00622791">
        <w:t xml:space="preserve">are not eligible to be accepted </w:t>
      </w:r>
      <w:r w:rsidR="00C47E34">
        <w:t xml:space="preserve">without </w:t>
      </w:r>
      <w:r w:rsidR="00C90BCA">
        <w:t>approv</w:t>
      </w:r>
      <w:r w:rsidR="00C47E34">
        <w:t>al</w:t>
      </w:r>
      <w:r w:rsidR="00C90BCA">
        <w:t xml:space="preserve"> </w:t>
      </w:r>
      <w:r w:rsidR="00C47E34">
        <w:t>from</w:t>
      </w:r>
      <w:r w:rsidR="00C90BCA">
        <w:t xml:space="preserve"> </w:t>
      </w:r>
      <w:r w:rsidR="006047EA">
        <w:t>the AAU</w:t>
      </w:r>
      <w:r w:rsidR="007E76AC">
        <w:t xml:space="preserve"> Manager.</w:t>
      </w:r>
    </w:p>
    <w:p w14:paraId="5753A4F8" w14:textId="6352E9B1" w:rsidR="006D2BA4" w:rsidRDefault="006047EA" w:rsidP="003F6CB2">
      <w:pPr>
        <w:pStyle w:val="BodyText"/>
      </w:pPr>
      <w:r>
        <w:t>DE</w:t>
      </w:r>
      <w:r w:rsidR="00D61DD2">
        <w:t xml:space="preserve"> retains the right to refuse </w:t>
      </w:r>
      <w:r>
        <w:t xml:space="preserve">the re-enrolment of </w:t>
      </w:r>
      <w:r w:rsidR="00D61DD2">
        <w:t xml:space="preserve">international students previously enrolled in a Victorian government school where their previous behaviour </w:t>
      </w:r>
      <w:r w:rsidR="00DA1A57">
        <w:t xml:space="preserve">is cause for </w:t>
      </w:r>
      <w:r w:rsidR="00450C7F">
        <w:t>reasonable</w:t>
      </w:r>
      <w:r w:rsidR="00D61DD2">
        <w:t xml:space="preserve"> concern</w:t>
      </w:r>
      <w:r w:rsidR="00DA1A57">
        <w:t xml:space="preserve"> that they</w:t>
      </w:r>
      <w:r w:rsidR="00F912DA">
        <w:t xml:space="preserve"> </w:t>
      </w:r>
      <w:r w:rsidR="00DA1A57">
        <w:t xml:space="preserve">could impact </w:t>
      </w:r>
      <w:r w:rsidR="00D61DD2">
        <w:t>the safety</w:t>
      </w:r>
      <w:r w:rsidR="00DA1A57">
        <w:t xml:space="preserve">, security and/or wellbeing of other </w:t>
      </w:r>
      <w:r w:rsidR="00D61DD2">
        <w:t>students and/or school staff.</w:t>
      </w:r>
    </w:p>
    <w:p w14:paraId="7B1BF47F" w14:textId="1CCB679B" w:rsidR="00D16783" w:rsidRDefault="00EF45DE" w:rsidP="00D16783">
      <w:pPr>
        <w:pStyle w:val="BodyText"/>
        <w:rPr>
          <w:lang w:val="en-US"/>
        </w:rPr>
      </w:pPr>
      <w:r>
        <w:t>In compassionate or compelling circumstances, DE (IED) may accept a student who does not meet the academic</w:t>
      </w:r>
      <w:r w:rsidR="00524D17">
        <w:t xml:space="preserve">, </w:t>
      </w:r>
      <w:r>
        <w:t>English</w:t>
      </w:r>
      <w:r w:rsidR="003E1B9A">
        <w:t xml:space="preserve"> language</w:t>
      </w:r>
      <w:r>
        <w:t xml:space="preserve"> </w:t>
      </w:r>
      <w:r w:rsidR="00524D17">
        <w:t xml:space="preserve">or other </w:t>
      </w:r>
      <w:r>
        <w:t>requirements, as assessed by DE (IED) on a case-by-case basis</w:t>
      </w:r>
      <w:r w:rsidR="006F6B55">
        <w:t xml:space="preserve">. </w:t>
      </w:r>
      <w:r w:rsidR="00D16783" w:rsidRPr="008C5FF2">
        <w:rPr>
          <w:lang w:val="en-US"/>
        </w:rPr>
        <w:t xml:space="preserve">Students scoring under the proposed entry requirements </w:t>
      </w:r>
      <w:r w:rsidR="00D16783">
        <w:rPr>
          <w:lang w:val="en-US"/>
        </w:rPr>
        <w:t xml:space="preserve">and those where the equivalency is not easily assessed </w:t>
      </w:r>
      <w:r w:rsidR="00C30858">
        <w:rPr>
          <w:lang w:val="en-US"/>
        </w:rPr>
        <w:t>may be</w:t>
      </w:r>
      <w:r w:rsidR="00C30858" w:rsidRPr="008C5FF2">
        <w:rPr>
          <w:lang w:val="en-US"/>
        </w:rPr>
        <w:t xml:space="preserve"> </w:t>
      </w:r>
      <w:r w:rsidR="00D16783" w:rsidRPr="008C5FF2">
        <w:rPr>
          <w:lang w:val="en-US"/>
        </w:rPr>
        <w:t>offered</w:t>
      </w:r>
      <w:r w:rsidR="00C30858">
        <w:rPr>
          <w:lang w:val="en-US"/>
        </w:rPr>
        <w:t xml:space="preserve"> the opportunity to take and submit results from </w:t>
      </w:r>
      <w:proofErr w:type="gramStart"/>
      <w:r w:rsidR="00C30858">
        <w:rPr>
          <w:lang w:val="en-US"/>
        </w:rPr>
        <w:t>an</w:t>
      </w:r>
      <w:r w:rsidR="00D16783" w:rsidRPr="008C5FF2">
        <w:rPr>
          <w:lang w:val="en-US"/>
        </w:rPr>
        <w:t xml:space="preserve"> independent general abilities</w:t>
      </w:r>
      <w:proofErr w:type="gramEnd"/>
      <w:r w:rsidR="00D16783" w:rsidRPr="008C5FF2">
        <w:rPr>
          <w:lang w:val="en-US"/>
        </w:rPr>
        <w:t xml:space="preserve"> test specific </w:t>
      </w:r>
      <w:r w:rsidR="003E1B9A">
        <w:rPr>
          <w:lang w:val="en-US"/>
        </w:rPr>
        <w:t>to</w:t>
      </w:r>
      <w:r w:rsidR="003E1B9A" w:rsidRPr="008C5FF2">
        <w:rPr>
          <w:lang w:val="en-US"/>
        </w:rPr>
        <w:t xml:space="preserve"> </w:t>
      </w:r>
      <w:r w:rsidR="00D16783" w:rsidRPr="008C5FF2">
        <w:rPr>
          <w:lang w:val="en-US"/>
        </w:rPr>
        <w:t>Secondary School students</w:t>
      </w:r>
      <w:r w:rsidR="00D16783">
        <w:rPr>
          <w:lang w:val="en-US"/>
        </w:rPr>
        <w:t xml:space="preserve">, such as </w:t>
      </w:r>
      <w:proofErr w:type="spellStart"/>
      <w:r w:rsidR="00D16783">
        <w:rPr>
          <w:lang w:val="en-US"/>
        </w:rPr>
        <w:t>iDAT</w:t>
      </w:r>
      <w:proofErr w:type="spellEnd"/>
      <w:r w:rsidR="00D16783">
        <w:rPr>
          <w:lang w:val="en-US"/>
        </w:rPr>
        <w:t xml:space="preserve"> or AEAS. </w:t>
      </w:r>
    </w:p>
    <w:tbl>
      <w:tblPr>
        <w:tblStyle w:val="TableGrid"/>
        <w:tblW w:w="0" w:type="auto"/>
        <w:tblLook w:val="04A0" w:firstRow="1" w:lastRow="0" w:firstColumn="1" w:lastColumn="0" w:noHBand="0" w:noVBand="1"/>
      </w:tblPr>
      <w:tblGrid>
        <w:gridCol w:w="5225"/>
        <w:gridCol w:w="5225"/>
      </w:tblGrid>
      <w:tr w:rsidR="00D16783" w14:paraId="72C459AD" w14:textId="77777777" w:rsidTr="00042821">
        <w:tc>
          <w:tcPr>
            <w:tcW w:w="5225" w:type="dxa"/>
          </w:tcPr>
          <w:p w14:paraId="1682CD99" w14:textId="45B18581" w:rsidR="00D16783" w:rsidRDefault="00D16783" w:rsidP="00042821">
            <w:pPr>
              <w:pStyle w:val="BodyText"/>
            </w:pPr>
            <w:proofErr w:type="spellStart"/>
            <w:r>
              <w:t>iDAT</w:t>
            </w:r>
            <w:proofErr w:type="spellEnd"/>
            <w:r w:rsidR="008E4713">
              <w:t xml:space="preserve"> (</w:t>
            </w:r>
            <w:r w:rsidR="002C31E4">
              <w:t xml:space="preserve">English, </w:t>
            </w:r>
            <w:r w:rsidR="008E4713">
              <w:t>Mathematics</w:t>
            </w:r>
            <w:r w:rsidR="002C31E4">
              <w:t xml:space="preserve"> and </w:t>
            </w:r>
            <w:r w:rsidR="008E4713">
              <w:t>Global Knowledge)</w:t>
            </w:r>
          </w:p>
        </w:tc>
        <w:tc>
          <w:tcPr>
            <w:tcW w:w="5225" w:type="dxa"/>
          </w:tcPr>
          <w:p w14:paraId="33161F87" w14:textId="6FBF9F2D" w:rsidR="00D16783" w:rsidRDefault="00D16783" w:rsidP="00042821">
            <w:pPr>
              <w:pStyle w:val="BodyText"/>
            </w:pPr>
            <w:r>
              <w:t>60%</w:t>
            </w:r>
            <w:r w:rsidR="003E1B9A">
              <w:t xml:space="preserve"> (classroom ready) and above</w:t>
            </w:r>
          </w:p>
        </w:tc>
      </w:tr>
      <w:tr w:rsidR="00D16783" w14:paraId="4F1EC7B2" w14:textId="77777777" w:rsidTr="00042821">
        <w:tc>
          <w:tcPr>
            <w:tcW w:w="5225" w:type="dxa"/>
          </w:tcPr>
          <w:p w14:paraId="71B147AB" w14:textId="77777777" w:rsidR="00D16783" w:rsidRDefault="00D16783" w:rsidP="00042821">
            <w:pPr>
              <w:pStyle w:val="BodyText"/>
            </w:pPr>
            <w:r>
              <w:lastRenderedPageBreak/>
              <w:t>AEAS (Non-verbal general ability and mathematics reasoning ability)</w:t>
            </w:r>
          </w:p>
        </w:tc>
        <w:tc>
          <w:tcPr>
            <w:tcW w:w="5225" w:type="dxa"/>
          </w:tcPr>
          <w:p w14:paraId="391754D8" w14:textId="77777777" w:rsidR="00D16783" w:rsidRDefault="00D16783" w:rsidP="00042821">
            <w:pPr>
              <w:pStyle w:val="BodyText"/>
            </w:pPr>
            <w:r>
              <w:t>Stanine 7 and above</w:t>
            </w:r>
          </w:p>
        </w:tc>
      </w:tr>
    </w:tbl>
    <w:p w14:paraId="5ED70D09" w14:textId="77777777" w:rsidR="00D16783" w:rsidRDefault="00D16783" w:rsidP="003F6CB2">
      <w:pPr>
        <w:pStyle w:val="BodyText"/>
      </w:pPr>
    </w:p>
    <w:p w14:paraId="6120EFD3" w14:textId="77777777" w:rsidR="00B03588" w:rsidRDefault="00B03588" w:rsidP="00B03588">
      <w:pPr>
        <w:pStyle w:val="Heading3"/>
      </w:pPr>
      <w:r>
        <w:t xml:space="preserve">Students transitioning from </w:t>
      </w:r>
      <w:r w:rsidRPr="008F3587">
        <w:t>Primary</w:t>
      </w:r>
      <w:r>
        <w:t xml:space="preserve"> </w:t>
      </w:r>
      <w:r w:rsidRPr="008F3587">
        <w:t>(Prep to Year 6) – CRICOS course code 019047G</w:t>
      </w:r>
    </w:p>
    <w:p w14:paraId="3DF87A1C" w14:textId="3EB78EBB" w:rsidR="00B03588" w:rsidRDefault="00B03588" w:rsidP="003F6CB2">
      <w:pPr>
        <w:pStyle w:val="BodyText"/>
      </w:pPr>
      <w:r>
        <w:t xml:space="preserve">Students transitioning from </w:t>
      </w:r>
      <w:r w:rsidRPr="004104C4">
        <w:t>Primary (Prep to Year 6) – CRICOS course code 019047G</w:t>
      </w:r>
      <w:r>
        <w:t xml:space="preserve"> after completing Year 6 are not required to submit a new application. These students are also exempt from Academic </w:t>
      </w:r>
      <w:r w:rsidR="006047EA">
        <w:t>and</w:t>
      </w:r>
      <w:r>
        <w:t xml:space="preserve"> English language requirements if they successfully complete their </w:t>
      </w:r>
      <w:r w:rsidRPr="004104C4">
        <w:t>Primary (Prep to Year 6) – CRICOS course code 019047G</w:t>
      </w:r>
      <w:r>
        <w:t xml:space="preserve">. IED will arrange the enrolment for students transitioning to </w:t>
      </w:r>
      <w:r w:rsidR="006047EA">
        <w:t xml:space="preserve">a </w:t>
      </w:r>
      <w:r>
        <w:t>Secondary course as outlined in the ISP Admissions and Enrolment Procedure.</w:t>
      </w:r>
    </w:p>
    <w:p w14:paraId="39D98348" w14:textId="5052D5B2" w:rsidR="00EA36B0" w:rsidRDefault="00EA36B0" w:rsidP="00EA36B0">
      <w:pPr>
        <w:pStyle w:val="Heading2"/>
        <w:numPr>
          <w:ilvl w:val="0"/>
          <w:numId w:val="0"/>
        </w:numPr>
      </w:pPr>
      <w:r>
        <w:t xml:space="preserve">Student eligibility – Victorian College of the Arts Secondary Course (Year 7 to Year 12) – CRICOS </w:t>
      </w:r>
      <w:r w:rsidR="00810C35">
        <w:t xml:space="preserve">course code </w:t>
      </w:r>
      <w:r>
        <w:t>028651A</w:t>
      </w:r>
    </w:p>
    <w:p w14:paraId="688E3320" w14:textId="08F81269" w:rsidR="0049543C" w:rsidRDefault="00EA36B0" w:rsidP="0049543C">
      <w:pPr>
        <w:pStyle w:val="Heading3"/>
      </w:pPr>
      <w:r>
        <w:t>A</w:t>
      </w:r>
      <w:r w:rsidR="0049543C">
        <w:t xml:space="preserve">dditional </w:t>
      </w:r>
      <w:r w:rsidR="00F17C14">
        <w:t xml:space="preserve">eligibility </w:t>
      </w:r>
      <w:r w:rsidR="0049543C">
        <w:t>requirement</w:t>
      </w:r>
      <w:r w:rsidR="009E7B0F">
        <w:t>s</w:t>
      </w:r>
    </w:p>
    <w:p w14:paraId="324C47E4" w14:textId="5D3FC1E6" w:rsidR="00EA36B0" w:rsidRDefault="00EA36B0" w:rsidP="008D08EA">
      <w:pPr>
        <w:pStyle w:val="BodyText"/>
      </w:pPr>
      <w:r>
        <w:t xml:space="preserve">The </w:t>
      </w:r>
      <w:r w:rsidR="00F17C14">
        <w:t xml:space="preserve">eligibility </w:t>
      </w:r>
      <w:r>
        <w:t xml:space="preserve">requirements for the </w:t>
      </w:r>
      <w:r w:rsidR="0049543C">
        <w:t xml:space="preserve">Victorian College of the Arts Secondary School (VCASS) </w:t>
      </w:r>
      <w:r>
        <w:t xml:space="preserve">secondary </w:t>
      </w:r>
      <w:r w:rsidR="0049543C">
        <w:t xml:space="preserve">course </w:t>
      </w:r>
      <w:r>
        <w:t xml:space="preserve">are </w:t>
      </w:r>
      <w:r w:rsidR="00F03F34">
        <w:t>consistent with those of</w:t>
      </w:r>
      <w:r>
        <w:t xml:space="preserve"> </w:t>
      </w:r>
      <w:r w:rsidR="00884716">
        <w:t xml:space="preserve">the </w:t>
      </w:r>
      <w:r>
        <w:t xml:space="preserve">secondary </w:t>
      </w:r>
      <w:r w:rsidR="00884716">
        <w:t>course (</w:t>
      </w:r>
      <w:r w:rsidR="00884716" w:rsidRPr="00884716">
        <w:t>CRICOS Course Code 019048F</w:t>
      </w:r>
      <w:r w:rsidR="00884716">
        <w:t xml:space="preserve">) </w:t>
      </w:r>
      <w:r>
        <w:t xml:space="preserve">as set out above, with the </w:t>
      </w:r>
      <w:r w:rsidR="002C0634">
        <w:t xml:space="preserve">additional requirement </w:t>
      </w:r>
      <w:r>
        <w:t xml:space="preserve">that these students must also </w:t>
      </w:r>
      <w:r w:rsidR="0049543C">
        <w:t xml:space="preserve">undergo </w:t>
      </w:r>
      <w:r w:rsidR="002C0634">
        <w:t>an audition/interview</w:t>
      </w:r>
      <w:r w:rsidR="0049543C">
        <w:t xml:space="preserve">. </w:t>
      </w:r>
    </w:p>
    <w:p w14:paraId="336EB392" w14:textId="49E13B5D" w:rsidR="00CC4B36" w:rsidRDefault="002C0634" w:rsidP="008D08EA">
      <w:pPr>
        <w:pStyle w:val="BodyText"/>
      </w:pPr>
      <w:r>
        <w:rPr>
          <w:shd w:val="clear" w:color="auto" w:fill="FFFFFF"/>
        </w:rPr>
        <w:t>Additional</w:t>
      </w:r>
      <w:r w:rsidR="0049543C">
        <w:rPr>
          <w:shd w:val="clear" w:color="auto" w:fill="FFFFFF"/>
        </w:rPr>
        <w:t xml:space="preserve"> information </w:t>
      </w:r>
      <w:r>
        <w:rPr>
          <w:shd w:val="clear" w:color="auto" w:fill="FFFFFF"/>
        </w:rPr>
        <w:t xml:space="preserve">on the audition/interview process </w:t>
      </w:r>
      <w:r w:rsidR="0049543C">
        <w:rPr>
          <w:shd w:val="clear" w:color="auto" w:fill="FFFFFF"/>
        </w:rPr>
        <w:t xml:space="preserve">is available </w:t>
      </w:r>
      <w:r w:rsidR="00EB6B82">
        <w:rPr>
          <w:shd w:val="clear" w:color="auto" w:fill="FFFFFF"/>
        </w:rPr>
        <w:t xml:space="preserve">on </w:t>
      </w:r>
      <w:r w:rsidR="0049543C">
        <w:rPr>
          <w:shd w:val="clear" w:color="auto" w:fill="FFFFFF"/>
        </w:rPr>
        <w:t xml:space="preserve">the </w:t>
      </w:r>
      <w:hyperlink r:id="rId19" w:history="1">
        <w:r w:rsidR="0049543C" w:rsidRPr="007804B0">
          <w:rPr>
            <w:rStyle w:val="Hyperlink"/>
            <w:rFonts w:cs="Arial"/>
            <w:shd w:val="clear" w:color="auto" w:fill="FFFFFF"/>
          </w:rPr>
          <w:t>VCASS website</w:t>
        </w:r>
      </w:hyperlink>
      <w:r w:rsidR="0049543C">
        <w:rPr>
          <w:shd w:val="clear" w:color="auto" w:fill="FFFFFF"/>
        </w:rPr>
        <w:t xml:space="preserve">. </w:t>
      </w:r>
    </w:p>
    <w:p w14:paraId="38EBB54A" w14:textId="22AAE7ED" w:rsidR="002F05A8" w:rsidRDefault="00892E3F" w:rsidP="002F05A8">
      <w:pPr>
        <w:pStyle w:val="Heading2"/>
      </w:pPr>
      <w:r>
        <w:t xml:space="preserve">Applications </w:t>
      </w:r>
      <w:r w:rsidR="00884716">
        <w:t xml:space="preserve">satisfying </w:t>
      </w:r>
      <w:r>
        <w:t xml:space="preserve">student eligibility </w:t>
      </w:r>
      <w:r w:rsidR="007E506D">
        <w:t>requirements</w:t>
      </w:r>
    </w:p>
    <w:p w14:paraId="51F28291" w14:textId="2EAE853A" w:rsidR="002140ED" w:rsidRDefault="00380AE8" w:rsidP="008D08EA">
      <w:pPr>
        <w:pStyle w:val="BodyText"/>
      </w:pPr>
      <w:r>
        <w:t>Once</w:t>
      </w:r>
      <w:r w:rsidR="00C47E34">
        <w:t xml:space="preserve"> </w:t>
      </w:r>
      <w:r w:rsidR="00892E3F">
        <w:t>D</w:t>
      </w:r>
      <w:r w:rsidR="00C47E34">
        <w:t>E</w:t>
      </w:r>
      <w:r w:rsidR="00892E3F">
        <w:t xml:space="preserve"> (IED) has assessed a student as meeting </w:t>
      </w:r>
      <w:r w:rsidR="00F03F34">
        <w:t xml:space="preserve">the </w:t>
      </w:r>
      <w:r w:rsidR="003C0CE6" w:rsidRPr="003C0CE6">
        <w:t>eligibility requirements</w:t>
      </w:r>
      <w:r w:rsidR="00F03F34">
        <w:t xml:space="preserve"> of the ISP</w:t>
      </w:r>
      <w:r w:rsidR="003C0CE6" w:rsidRPr="003C0CE6">
        <w:t xml:space="preserve">, </w:t>
      </w:r>
      <w:r w:rsidR="00892E3F">
        <w:t xml:space="preserve">DE (IED) will </w:t>
      </w:r>
      <w:r w:rsidR="00E23BBD">
        <w:t xml:space="preserve">begin the process to </w:t>
      </w:r>
      <w:r w:rsidR="00892E3F">
        <w:t>place the student in</w:t>
      </w:r>
      <w:r w:rsidR="003D2AB2">
        <w:t>to</w:t>
      </w:r>
      <w:r w:rsidR="00892E3F">
        <w:t xml:space="preserve"> </w:t>
      </w:r>
      <w:r w:rsidR="003D2AB2">
        <w:t xml:space="preserve">one of DE (IED)’s </w:t>
      </w:r>
      <w:r w:rsidR="00892E3F">
        <w:t>accredited</w:t>
      </w:r>
      <w:r w:rsidR="003C0CE6" w:rsidRPr="003C0CE6">
        <w:t xml:space="preserve"> school</w:t>
      </w:r>
      <w:r w:rsidR="003D2AB2">
        <w:t>s</w:t>
      </w:r>
      <w:r w:rsidR="003C0CE6" w:rsidRPr="003C0CE6">
        <w:t xml:space="preserve">. </w:t>
      </w:r>
      <w:r w:rsidR="006F2212" w:rsidRPr="003C0CE6">
        <w:t xml:space="preserve">Please </w:t>
      </w:r>
      <w:r w:rsidR="00CD32F9">
        <w:t>refer to</w:t>
      </w:r>
      <w:r w:rsidR="00CD32F9" w:rsidRPr="003C0CE6">
        <w:t xml:space="preserve"> </w:t>
      </w:r>
      <w:r w:rsidR="006F2212" w:rsidRPr="003C0CE6">
        <w:t xml:space="preserve">the </w:t>
      </w:r>
      <w:hyperlink r:id="rId20" w:history="1">
        <w:r w:rsidR="006F2212" w:rsidRPr="00F40C30">
          <w:rPr>
            <w:rStyle w:val="Hyperlink"/>
          </w:rPr>
          <w:t>ISP Admissions and Enrolment Procedure</w:t>
        </w:r>
      </w:hyperlink>
      <w:r w:rsidR="006F2212" w:rsidRPr="003C0CE6">
        <w:t xml:space="preserve"> </w:t>
      </w:r>
      <w:r w:rsidR="006F2212">
        <w:t xml:space="preserve">for more detailed information. </w:t>
      </w:r>
    </w:p>
    <w:p w14:paraId="04AF2E6C" w14:textId="3DCAB4BE" w:rsidR="002140ED" w:rsidRDefault="00D923DC" w:rsidP="008D08EA">
      <w:pPr>
        <w:pStyle w:val="BodyText"/>
      </w:pPr>
      <w:r>
        <w:t>S</w:t>
      </w:r>
      <w:r w:rsidR="00DE56C5">
        <w:t>tudent</w:t>
      </w:r>
      <w:r>
        <w:t>s</w:t>
      </w:r>
      <w:r w:rsidR="00DE56C5">
        <w:t xml:space="preserve"> must also satisfy </w:t>
      </w:r>
      <w:r w:rsidR="002140ED">
        <w:t xml:space="preserve">requirements </w:t>
      </w:r>
      <w:r>
        <w:t xml:space="preserve">relating </w:t>
      </w:r>
      <w:r w:rsidR="00DE56C5">
        <w:t xml:space="preserve">to the </w:t>
      </w:r>
      <w:r w:rsidR="0058575B">
        <w:t>o</w:t>
      </w:r>
      <w:r w:rsidR="00DE56C5">
        <w:t xml:space="preserve">verseas </w:t>
      </w:r>
      <w:r w:rsidR="0058575B">
        <w:t>s</w:t>
      </w:r>
      <w:r w:rsidR="00DE56C5">
        <w:t xml:space="preserve">tudent </w:t>
      </w:r>
      <w:r w:rsidR="0058575B">
        <w:t>h</w:t>
      </w:r>
      <w:r w:rsidR="00DE56C5">
        <w:t xml:space="preserve">ealth </w:t>
      </w:r>
      <w:r w:rsidR="0058575B">
        <w:t>c</w:t>
      </w:r>
      <w:r w:rsidR="00DE56C5">
        <w:t xml:space="preserve">over and </w:t>
      </w:r>
      <w:r w:rsidR="0058575B">
        <w:t>a</w:t>
      </w:r>
      <w:r w:rsidR="00DE56C5">
        <w:t xml:space="preserve">ccommodation and </w:t>
      </w:r>
      <w:r w:rsidR="0058575B">
        <w:t>w</w:t>
      </w:r>
      <w:r w:rsidR="00DE56C5">
        <w:t xml:space="preserve">elfare arrangements </w:t>
      </w:r>
      <w:r>
        <w:t xml:space="preserve">as set out </w:t>
      </w:r>
      <w:r w:rsidR="00DE56C5">
        <w:t xml:space="preserve">below. </w:t>
      </w:r>
      <w:r w:rsidR="006F0E6D" w:rsidRPr="00A371B8">
        <w:rPr>
          <w:u w:val="single"/>
        </w:rPr>
        <w:t>DE (IED) formalises an e</w:t>
      </w:r>
      <w:r w:rsidR="002F05A8" w:rsidRPr="00A371B8">
        <w:rPr>
          <w:u w:val="single"/>
        </w:rPr>
        <w:t xml:space="preserve">nrolment </w:t>
      </w:r>
      <w:r w:rsidR="008B0042" w:rsidRPr="00A371B8">
        <w:rPr>
          <w:u w:val="single"/>
        </w:rPr>
        <w:t xml:space="preserve">by </w:t>
      </w:r>
      <w:r w:rsidR="006F0E6D" w:rsidRPr="00A371B8">
        <w:rPr>
          <w:u w:val="single"/>
        </w:rPr>
        <w:t xml:space="preserve">issuing </w:t>
      </w:r>
      <w:r w:rsidR="00607D18" w:rsidRPr="00A371B8">
        <w:rPr>
          <w:u w:val="single"/>
        </w:rPr>
        <w:t>a C</w:t>
      </w:r>
      <w:r w:rsidR="00C47E34">
        <w:rPr>
          <w:u w:val="single"/>
        </w:rPr>
        <w:t xml:space="preserve">onfirmation </w:t>
      </w:r>
      <w:r w:rsidR="00607D18" w:rsidRPr="00A371B8">
        <w:rPr>
          <w:u w:val="single"/>
        </w:rPr>
        <w:t>o</w:t>
      </w:r>
      <w:r w:rsidR="00C47E34">
        <w:rPr>
          <w:u w:val="single"/>
        </w:rPr>
        <w:t xml:space="preserve">f </w:t>
      </w:r>
      <w:r w:rsidR="00607D18" w:rsidRPr="00A371B8">
        <w:rPr>
          <w:u w:val="single"/>
        </w:rPr>
        <w:t>E</w:t>
      </w:r>
      <w:r w:rsidR="00C47E34">
        <w:rPr>
          <w:u w:val="single"/>
        </w:rPr>
        <w:t>nrolment (CoE)</w:t>
      </w:r>
      <w:r w:rsidR="00DE56C5">
        <w:rPr>
          <w:u w:val="single"/>
        </w:rPr>
        <w:t xml:space="preserve"> after the</w:t>
      </w:r>
      <w:r>
        <w:rPr>
          <w:u w:val="single"/>
        </w:rPr>
        <w:t xml:space="preserve">se </w:t>
      </w:r>
      <w:r w:rsidR="006F510D">
        <w:rPr>
          <w:u w:val="single"/>
        </w:rPr>
        <w:t xml:space="preserve">arrangements </w:t>
      </w:r>
      <w:r>
        <w:rPr>
          <w:u w:val="single"/>
        </w:rPr>
        <w:t>have</w:t>
      </w:r>
      <w:r w:rsidR="00DE56C5">
        <w:rPr>
          <w:u w:val="single"/>
        </w:rPr>
        <w:t xml:space="preserve"> been </w:t>
      </w:r>
      <w:r w:rsidR="006F510D">
        <w:rPr>
          <w:u w:val="single"/>
        </w:rPr>
        <w:t>confirmed</w:t>
      </w:r>
      <w:r w:rsidR="006F0E6D">
        <w:t>.</w:t>
      </w:r>
      <w:r w:rsidR="00607D18">
        <w:t xml:space="preserve"> </w:t>
      </w:r>
    </w:p>
    <w:p w14:paraId="2802EAF0" w14:textId="54986FD6" w:rsidR="00DE56C5" w:rsidRDefault="006E72D4" w:rsidP="008D08EA">
      <w:pPr>
        <w:pStyle w:val="BodyText"/>
      </w:pPr>
      <w:r>
        <w:t>The CoE states the course details and the expected course duration</w:t>
      </w:r>
      <w:r w:rsidR="0012735F">
        <w:t xml:space="preserve">, which will </w:t>
      </w:r>
      <w:r>
        <w:t xml:space="preserve">not exceed </w:t>
      </w:r>
      <w:r w:rsidR="0012735F">
        <w:t>the</w:t>
      </w:r>
      <w:r w:rsidR="006F6B55">
        <w:t xml:space="preserve"> maximum</w:t>
      </w:r>
      <w:r w:rsidR="0012735F">
        <w:t xml:space="preserve"> </w:t>
      </w:r>
      <w:r w:rsidR="006F6B55">
        <w:t xml:space="preserve">course duration as per </w:t>
      </w:r>
      <w:r w:rsidR="0012735F">
        <w:t>DE’s CRICOS registration</w:t>
      </w:r>
      <w:r>
        <w:t>.</w:t>
      </w:r>
    </w:p>
    <w:p w14:paraId="7134B67F" w14:textId="77405F89" w:rsidR="00F0282F" w:rsidRDefault="00F0282F" w:rsidP="009A622F">
      <w:pPr>
        <w:pStyle w:val="Heading3"/>
      </w:pPr>
      <w:r>
        <w:t xml:space="preserve">Overseas </w:t>
      </w:r>
      <w:r w:rsidR="00A4619D">
        <w:t>s</w:t>
      </w:r>
      <w:r>
        <w:t xml:space="preserve">tudent </w:t>
      </w:r>
      <w:r w:rsidR="00A4619D">
        <w:t>h</w:t>
      </w:r>
      <w:r>
        <w:t xml:space="preserve">ealth </w:t>
      </w:r>
      <w:r w:rsidR="00A4619D">
        <w:t>c</w:t>
      </w:r>
      <w:r w:rsidR="000947F3">
        <w:t>over</w:t>
      </w:r>
      <w:r w:rsidR="006D2BA4">
        <w:t xml:space="preserve"> (OSHC)</w:t>
      </w:r>
    </w:p>
    <w:p w14:paraId="0E4A0885" w14:textId="362F082D" w:rsidR="00F0282F" w:rsidRDefault="00CC4B36" w:rsidP="008D08EA">
      <w:pPr>
        <w:pStyle w:val="BodyText"/>
      </w:pPr>
      <w:r>
        <w:t>As a requirement of the student’s visa, students must have health insurance in the form of OSHC in place for the duration of their visa before arriving in Australia</w:t>
      </w:r>
      <w:r w:rsidR="00232309">
        <w:t>.</w:t>
      </w:r>
    </w:p>
    <w:p w14:paraId="28CE2192" w14:textId="42D937F1" w:rsidR="00CC4B36" w:rsidRDefault="00CC4B36" w:rsidP="008D08EA">
      <w:pPr>
        <w:pStyle w:val="BodyText"/>
      </w:pPr>
      <w:r>
        <w:t xml:space="preserve">Health insurance must be purchased from one of the Australian Government’s approved providers. A list of the approved providers can be accessed </w:t>
      </w:r>
      <w:r w:rsidR="00E23BBD">
        <w:t>via</w:t>
      </w:r>
      <w:r>
        <w:t xml:space="preserve"> </w:t>
      </w:r>
      <w:hyperlink r:id="rId21" w:history="1">
        <w:r w:rsidRPr="00391264">
          <w:rPr>
            <w:rStyle w:val="Hyperlink"/>
          </w:rPr>
          <w:t>www.health.gov.au</w:t>
        </w:r>
      </w:hyperlink>
      <w:r>
        <w:t xml:space="preserve"> </w:t>
      </w:r>
      <w:r w:rsidR="00F03F34">
        <w:t>(search:</w:t>
      </w:r>
      <w:r>
        <w:t xml:space="preserve"> overseas student health cover</w:t>
      </w:r>
      <w:r w:rsidR="00F03F34">
        <w:t>)</w:t>
      </w:r>
      <w:r>
        <w:t>.</w:t>
      </w:r>
      <w:r w:rsidR="0058575B">
        <w:t xml:space="preserve"> </w:t>
      </w:r>
      <w:r>
        <w:t>Student</w:t>
      </w:r>
      <w:r w:rsidR="006F0E6D">
        <w:t>s</w:t>
      </w:r>
      <w:r>
        <w:t xml:space="preserve"> retain the right to choose their own Australian Government approved in</w:t>
      </w:r>
      <w:r w:rsidR="006F0E6D">
        <w:t>surer and purchase their own OS</w:t>
      </w:r>
      <w:r>
        <w:t>HC</w:t>
      </w:r>
      <w:r w:rsidR="0081334D">
        <w:t>.</w:t>
      </w:r>
    </w:p>
    <w:p w14:paraId="73E81811" w14:textId="254A6E98" w:rsidR="00CC4B36" w:rsidRDefault="002576D8" w:rsidP="008D08EA">
      <w:pPr>
        <w:pStyle w:val="BodyText"/>
      </w:pPr>
      <w:r>
        <w:t>The student’s visa may be cance</w:t>
      </w:r>
      <w:r w:rsidR="00CC4B36">
        <w:t>lled if OSHC is not maintained for the duration of the visa, as this constitutes a breach of visa conditions.</w:t>
      </w:r>
      <w:r w:rsidR="0058575B">
        <w:t xml:space="preserve"> </w:t>
      </w:r>
      <w:r w:rsidR="00CC4B36">
        <w:t xml:space="preserve">Please </w:t>
      </w:r>
      <w:r w:rsidR="00CD32F9">
        <w:t xml:space="preserve">refer </w:t>
      </w:r>
      <w:r w:rsidR="00B03CBB">
        <w:t xml:space="preserve">to </w:t>
      </w:r>
      <w:r w:rsidR="00CC4B36">
        <w:t xml:space="preserve">the </w:t>
      </w:r>
      <w:r w:rsidR="00380AE8">
        <w:t>D</w:t>
      </w:r>
      <w:r w:rsidR="00CC4B36">
        <w:t xml:space="preserve">HA website for further information about visa conditions: </w:t>
      </w:r>
      <w:hyperlink r:id="rId22" w:history="1">
        <w:r w:rsidR="00CC4B36" w:rsidRPr="00391264">
          <w:rPr>
            <w:rStyle w:val="Hyperlink"/>
          </w:rPr>
          <w:t>www.homeaffairs.gov.au</w:t>
        </w:r>
      </w:hyperlink>
      <w:r w:rsidR="00F97BCD">
        <w:t>.</w:t>
      </w:r>
    </w:p>
    <w:p w14:paraId="29F02A28" w14:textId="67A48173" w:rsidR="00CC4B36" w:rsidRDefault="00CC4B36" w:rsidP="00CC4B36">
      <w:pPr>
        <w:pStyle w:val="Heading4"/>
      </w:pPr>
      <w:r>
        <w:t>D</w:t>
      </w:r>
      <w:r w:rsidR="006F6B55">
        <w:t>epartment</w:t>
      </w:r>
      <w:r>
        <w:t xml:space="preserve">-arranged </w:t>
      </w:r>
      <w:r w:rsidR="00A4619D">
        <w:t>OSHC</w:t>
      </w:r>
    </w:p>
    <w:p w14:paraId="7D8DFC3F" w14:textId="6B55B1FA" w:rsidR="00CC4B36" w:rsidRDefault="008C390C" w:rsidP="008C390C">
      <w:pPr>
        <w:pStyle w:val="ListBullet"/>
      </w:pPr>
      <w:r w:rsidRPr="008C390C">
        <w:t>Parent</w:t>
      </w:r>
      <w:r>
        <w:t>(s)</w:t>
      </w:r>
      <w:r w:rsidRPr="008C390C">
        <w:t xml:space="preserve"> or legal guardian(s)</w:t>
      </w:r>
      <w:r w:rsidR="00B03CBB">
        <w:t xml:space="preserve"> </w:t>
      </w:r>
      <w:r w:rsidR="00CC4B36">
        <w:t xml:space="preserve">can </w:t>
      </w:r>
      <w:r w:rsidR="00E81C52">
        <w:t>ask</w:t>
      </w:r>
      <w:r w:rsidR="00CC4B36">
        <w:t xml:space="preserve"> DE</w:t>
      </w:r>
      <w:r w:rsidR="00E81C52">
        <w:t xml:space="preserve"> </w:t>
      </w:r>
      <w:r w:rsidR="00CC4B36">
        <w:t>(IED) to arrange the student’s OSHC at the time of enrolment</w:t>
      </w:r>
    </w:p>
    <w:p w14:paraId="4B12F42C" w14:textId="45816A39" w:rsidR="00CC4B36" w:rsidRDefault="008C390C" w:rsidP="00810C35">
      <w:pPr>
        <w:pStyle w:val="ListBullet"/>
      </w:pPr>
      <w:r>
        <w:t>P</w:t>
      </w:r>
      <w:r w:rsidRPr="005B1354">
        <w:t>arent</w:t>
      </w:r>
      <w:r>
        <w:t>(</w:t>
      </w:r>
      <w:r w:rsidRPr="005B1354">
        <w:t>s</w:t>
      </w:r>
      <w:r>
        <w:t>) or legal</w:t>
      </w:r>
      <w:r w:rsidRPr="005B1354">
        <w:t xml:space="preserve"> </w:t>
      </w:r>
      <w:r>
        <w:t xml:space="preserve">guardian(s) </w:t>
      </w:r>
      <w:r w:rsidR="00CC4B36">
        <w:t xml:space="preserve">can also ask </w:t>
      </w:r>
      <w:r w:rsidR="00BC65A6">
        <w:t xml:space="preserve">DE </w:t>
      </w:r>
      <w:r w:rsidR="00CC4B36">
        <w:t>(IED) to arrange the student’s OSHC</w:t>
      </w:r>
      <w:r w:rsidR="006F6B55">
        <w:t xml:space="preserve"> prior to </w:t>
      </w:r>
      <w:r w:rsidR="001371C0">
        <w:t xml:space="preserve">the issuance of the </w:t>
      </w:r>
      <w:r w:rsidR="006F6B55">
        <w:t>Confirmation of Enrolment</w:t>
      </w:r>
      <w:r w:rsidR="00CC4B36">
        <w:t xml:space="preserve"> if they change their mind about using another provider by emailing: </w:t>
      </w:r>
      <w:hyperlink r:id="rId23" w:history="1">
        <w:r w:rsidR="003D2AB2" w:rsidRPr="00F17C14">
          <w:rPr>
            <w:rStyle w:val="Hyperlink"/>
          </w:rPr>
          <w:t>international@education</w:t>
        </w:r>
        <w:r w:rsidR="003D2AB2" w:rsidRPr="00624A0C">
          <w:rPr>
            <w:rStyle w:val="Hyperlink"/>
          </w:rPr>
          <w:t>.vic.gov.au</w:t>
        </w:r>
      </w:hyperlink>
    </w:p>
    <w:p w14:paraId="312E1C6B" w14:textId="59CAD5CF" w:rsidR="00CC4B36" w:rsidRDefault="00CC4B36" w:rsidP="00810C35">
      <w:pPr>
        <w:pStyle w:val="ListBullet"/>
      </w:pPr>
      <w:r>
        <w:t>DE (IED) has a preferred provide</w:t>
      </w:r>
      <w:r w:rsidR="00B2282E">
        <w:t>r</w:t>
      </w:r>
      <w:r>
        <w:t xml:space="preserve"> arrangement with </w:t>
      </w:r>
      <w:r w:rsidR="001371C0">
        <w:t xml:space="preserve">Australian Government’s approved OSHC provider </w:t>
      </w:r>
      <w:r>
        <w:t>Medibank Private</w:t>
      </w:r>
      <w:r w:rsidR="001371C0">
        <w:t xml:space="preserve">. </w:t>
      </w:r>
      <w:r w:rsidR="009451C1">
        <w:t>Medibank Private pay</w:t>
      </w:r>
      <w:r w:rsidR="001371C0">
        <w:t>s</w:t>
      </w:r>
      <w:r w:rsidR="009451C1">
        <w:t xml:space="preserve"> </w:t>
      </w:r>
      <w:r>
        <w:t xml:space="preserve">commission to </w:t>
      </w:r>
      <w:r w:rsidR="00BC65A6">
        <w:t>D</w:t>
      </w:r>
      <w:r>
        <w:t>E (IED).</w:t>
      </w:r>
    </w:p>
    <w:p w14:paraId="510505F1" w14:textId="286A6F02" w:rsidR="00CC4B36" w:rsidRDefault="00CC4B36" w:rsidP="00CC4B36">
      <w:pPr>
        <w:pStyle w:val="Heading4"/>
        <w:rPr>
          <w:color w:val="404040" w:themeColor="text1" w:themeTint="BF"/>
        </w:rPr>
      </w:pPr>
      <w:r>
        <w:t xml:space="preserve">Privately arranged </w:t>
      </w:r>
      <w:r w:rsidR="00AF0D9B">
        <w:t>OSHC</w:t>
      </w:r>
    </w:p>
    <w:p w14:paraId="48C1DCEC" w14:textId="0928A794" w:rsidR="00CC4B36" w:rsidRDefault="00EC055D" w:rsidP="008D08EA">
      <w:pPr>
        <w:pStyle w:val="BodyText"/>
      </w:pPr>
      <w:r>
        <w:t>P</w:t>
      </w:r>
      <w:r w:rsidRPr="005B1354">
        <w:t>arent</w:t>
      </w:r>
      <w:r>
        <w:t>(</w:t>
      </w:r>
      <w:r w:rsidRPr="005B1354">
        <w:t>s</w:t>
      </w:r>
      <w:r>
        <w:t>) or legal</w:t>
      </w:r>
      <w:r w:rsidRPr="005B1354">
        <w:t xml:space="preserve"> </w:t>
      </w:r>
      <w:r>
        <w:t xml:space="preserve">guardian(s) </w:t>
      </w:r>
      <w:r w:rsidR="00CC4B36">
        <w:t>who choose to arrange the student’s OSHC directly through a health cover provider must ensure that</w:t>
      </w:r>
      <w:r w:rsidR="008D3D8D">
        <w:t xml:space="preserve"> OSHC is arranged prior</w:t>
      </w:r>
      <w:r w:rsidR="00E81C52">
        <w:t xml:space="preserve"> to</w:t>
      </w:r>
      <w:r w:rsidR="008D3D8D">
        <w:t xml:space="preserve"> DE (IED)</w:t>
      </w:r>
      <w:r w:rsidR="001371C0">
        <w:t xml:space="preserve"> issuing a Confirmation of Enrolment. DE (IED) will require the following</w:t>
      </w:r>
      <w:r w:rsidR="008D3D8D">
        <w:t xml:space="preserve"> </w:t>
      </w:r>
      <w:r w:rsidR="001371C0">
        <w:t xml:space="preserve">OSHC </w:t>
      </w:r>
      <w:r w:rsidR="008D3D8D">
        <w:t>details</w:t>
      </w:r>
      <w:r w:rsidR="0080785F">
        <w:t>:</w:t>
      </w:r>
    </w:p>
    <w:p w14:paraId="089E1D1D" w14:textId="7786BEE6" w:rsidR="00CC4B36" w:rsidRDefault="004365BF" w:rsidP="008D3D8D">
      <w:pPr>
        <w:pStyle w:val="ListBullet"/>
      </w:pPr>
      <w:r>
        <w:t>n</w:t>
      </w:r>
      <w:r w:rsidR="00CC4B36">
        <w:t>ame of the OSHC provider</w:t>
      </w:r>
    </w:p>
    <w:p w14:paraId="34CFA772" w14:textId="320534A3" w:rsidR="00CC4B36" w:rsidRDefault="004365BF" w:rsidP="008D3D8D">
      <w:pPr>
        <w:pStyle w:val="ListBullet"/>
      </w:pPr>
      <w:r>
        <w:t>s</w:t>
      </w:r>
      <w:r w:rsidR="00D1431E">
        <w:t>tudent’s m</w:t>
      </w:r>
      <w:r w:rsidR="00CC4B36">
        <w:t>embership number</w:t>
      </w:r>
    </w:p>
    <w:p w14:paraId="1D5785F3" w14:textId="6A146DF6" w:rsidR="00CC4B36" w:rsidRDefault="004365BF" w:rsidP="008D3D8D">
      <w:pPr>
        <w:pStyle w:val="ListBullet"/>
      </w:pPr>
      <w:r>
        <w:t>s</w:t>
      </w:r>
      <w:r w:rsidR="00CC4B36">
        <w:t>tart date of the cover</w:t>
      </w:r>
    </w:p>
    <w:p w14:paraId="41BA8455" w14:textId="4D923608" w:rsidR="00CC4B36" w:rsidRDefault="004365BF" w:rsidP="008D3D8D">
      <w:pPr>
        <w:pStyle w:val="ListBullet"/>
      </w:pPr>
      <w:r>
        <w:t>e</w:t>
      </w:r>
      <w:r w:rsidR="00CC4B36">
        <w:t>nd date of the cover</w:t>
      </w:r>
    </w:p>
    <w:p w14:paraId="2B738E8A" w14:textId="4E368AAC" w:rsidR="00CC4B36" w:rsidRDefault="004365BF" w:rsidP="008D3D8D">
      <w:pPr>
        <w:pStyle w:val="ListBullet"/>
      </w:pPr>
      <w:r>
        <w:lastRenderedPageBreak/>
        <w:t>d</w:t>
      </w:r>
      <w:r w:rsidR="00CC4B36">
        <w:t>ocumentation supporting OSHC coverage</w:t>
      </w:r>
      <w:r w:rsidR="006F4FFD">
        <w:t>.</w:t>
      </w:r>
    </w:p>
    <w:p w14:paraId="0B301FEC" w14:textId="6AF86A62" w:rsidR="00CC4B36" w:rsidRDefault="00CC4B36" w:rsidP="00F56674">
      <w:pPr>
        <w:pStyle w:val="Heading4"/>
      </w:pPr>
      <w:r>
        <w:t xml:space="preserve">No gaps in </w:t>
      </w:r>
      <w:r w:rsidR="008D3D8D">
        <w:t>OSHC</w:t>
      </w:r>
    </w:p>
    <w:p w14:paraId="504567C4" w14:textId="77777777" w:rsidR="00CC4B36" w:rsidRDefault="00BC65A6" w:rsidP="008D08EA">
      <w:pPr>
        <w:pStyle w:val="BodyText"/>
      </w:pPr>
      <w:r w:rsidRPr="00BC65A6">
        <w:t xml:space="preserve">Where a student is </w:t>
      </w:r>
      <w:r w:rsidRPr="00057451">
        <w:t>transferring</w:t>
      </w:r>
      <w:r w:rsidRPr="00BC65A6">
        <w:t xml:space="preserve"> into a Victorian government school from another education provider there must be no gap in the student’s </w:t>
      </w:r>
      <w:r>
        <w:t xml:space="preserve">OSHC cover. This means that when one OSHC policy expires the next policy must start immediately. </w:t>
      </w:r>
    </w:p>
    <w:p w14:paraId="11AAAB8A" w14:textId="77777777" w:rsidR="002F05A8" w:rsidRDefault="002F05A8" w:rsidP="00074756">
      <w:pPr>
        <w:pStyle w:val="Heading3"/>
      </w:pPr>
      <w:r>
        <w:t xml:space="preserve">Accommodation and welfare </w:t>
      </w:r>
    </w:p>
    <w:p w14:paraId="5EA1D593" w14:textId="0A26DCD1" w:rsidR="002F05A8" w:rsidRPr="00810C35" w:rsidRDefault="006F0E6D" w:rsidP="008D08EA">
      <w:pPr>
        <w:pStyle w:val="BodyText"/>
      </w:pPr>
      <w:r w:rsidRPr="00810C35">
        <w:t>ISP s</w:t>
      </w:r>
      <w:r w:rsidR="002F05A8" w:rsidRPr="00810C35">
        <w:t xml:space="preserve">tudents </w:t>
      </w:r>
      <w:r w:rsidRPr="00810C35">
        <w:t xml:space="preserve">under the age of 18 </w:t>
      </w:r>
      <w:r w:rsidR="00561843" w:rsidRPr="00810C35">
        <w:t xml:space="preserve">must </w:t>
      </w:r>
      <w:r w:rsidR="002F05A8" w:rsidRPr="00810C35">
        <w:t>live</w:t>
      </w:r>
      <w:r w:rsidR="005753E1">
        <w:t xml:space="preserve"> either</w:t>
      </w:r>
      <w:r w:rsidR="002F05A8" w:rsidRPr="00810C35">
        <w:t xml:space="preserve">: </w:t>
      </w:r>
    </w:p>
    <w:p w14:paraId="018B5C19" w14:textId="3E230C65" w:rsidR="002F05A8" w:rsidRPr="00046600" w:rsidRDefault="004365BF" w:rsidP="00810C35">
      <w:pPr>
        <w:pStyle w:val="ListBullet"/>
      </w:pPr>
      <w:r>
        <w:t>w</w:t>
      </w:r>
      <w:r w:rsidR="006F0E6D" w:rsidRPr="00046600">
        <w:t xml:space="preserve">ith </w:t>
      </w:r>
      <w:r w:rsidR="002F05A8" w:rsidRPr="00046600">
        <w:t xml:space="preserve">a </w:t>
      </w:r>
      <w:r w:rsidR="00EC055D" w:rsidRPr="005B1354">
        <w:t>parent</w:t>
      </w:r>
      <w:r w:rsidR="00EC055D">
        <w:t>(</w:t>
      </w:r>
      <w:r w:rsidR="00EC055D" w:rsidRPr="005B1354">
        <w:t>s</w:t>
      </w:r>
      <w:r w:rsidR="00EC055D">
        <w:t>) or legal</w:t>
      </w:r>
      <w:r w:rsidR="00EC055D" w:rsidRPr="005B1354">
        <w:t xml:space="preserve"> </w:t>
      </w:r>
      <w:r w:rsidR="00EC055D">
        <w:t>guardian(s)</w:t>
      </w:r>
      <w:r w:rsidR="00EC055D">
        <w:rPr>
          <w:b/>
        </w:rPr>
        <w:t xml:space="preserve"> </w:t>
      </w:r>
      <w:r w:rsidR="00561843" w:rsidRPr="00046600">
        <w:t>or DHA-approved relative</w:t>
      </w:r>
    </w:p>
    <w:p w14:paraId="5A58C994" w14:textId="559D2127" w:rsidR="00561843" w:rsidRPr="00046600" w:rsidRDefault="004365BF" w:rsidP="00810C35">
      <w:pPr>
        <w:pStyle w:val="ListBullet"/>
      </w:pPr>
      <w:r>
        <w:t>i</w:t>
      </w:r>
      <w:r w:rsidR="006F0E6D" w:rsidRPr="00046600">
        <w:t xml:space="preserve">n </w:t>
      </w:r>
      <w:r w:rsidR="00561843" w:rsidRPr="00046600">
        <w:t>a DE (IED)</w:t>
      </w:r>
      <w:r w:rsidR="00810C35">
        <w:t>-</w:t>
      </w:r>
      <w:r w:rsidR="00561843" w:rsidRPr="00046600">
        <w:t>approved homestay arrangement.</w:t>
      </w:r>
    </w:p>
    <w:p w14:paraId="1C98183B" w14:textId="338190C4" w:rsidR="00561843" w:rsidRPr="00810C35" w:rsidRDefault="00561843" w:rsidP="008D08EA">
      <w:pPr>
        <w:pStyle w:val="BodyText"/>
      </w:pPr>
      <w:r w:rsidRPr="00810C35">
        <w:t xml:space="preserve">Where a student under the age of 18 does not live with </w:t>
      </w:r>
      <w:r w:rsidR="004365BF">
        <w:t>their</w:t>
      </w:r>
      <w:r w:rsidRPr="00810C35">
        <w:t xml:space="preserve"> </w:t>
      </w:r>
      <w:r w:rsidR="00EC055D" w:rsidRPr="005B1354">
        <w:t>parent</w:t>
      </w:r>
      <w:r w:rsidR="00EC055D">
        <w:t>(</w:t>
      </w:r>
      <w:r w:rsidR="00EC055D" w:rsidRPr="005B1354">
        <w:t>s</w:t>
      </w:r>
      <w:r w:rsidR="00EC055D">
        <w:t>) or legal</w:t>
      </w:r>
      <w:r w:rsidR="00EC055D" w:rsidRPr="005B1354">
        <w:t xml:space="preserve"> </w:t>
      </w:r>
      <w:r w:rsidR="00EC055D">
        <w:t xml:space="preserve">guardian(s) </w:t>
      </w:r>
      <w:r w:rsidRPr="00810C35">
        <w:t xml:space="preserve">or DHA-approved relative, DE can approve appropriate accommodation and welfare arrangements through </w:t>
      </w:r>
      <w:r w:rsidR="00193ECE">
        <w:t>the</w:t>
      </w:r>
      <w:r w:rsidR="001371C0">
        <w:t xml:space="preserve"> provision of</w:t>
      </w:r>
      <w:r w:rsidRPr="00810C35">
        <w:t xml:space="preserve"> a Confirmation of Appropriate Accommodation and Welfare (CAAW) letter. </w:t>
      </w:r>
      <w:r w:rsidR="006F0E6D" w:rsidRPr="00810C35">
        <w:t xml:space="preserve">CAAW arrangements are </w:t>
      </w:r>
      <w:r w:rsidRPr="00810C35">
        <w:t xml:space="preserve">only available </w:t>
      </w:r>
      <w:r w:rsidR="006F0E6D" w:rsidRPr="00810C35">
        <w:t xml:space="preserve">for </w:t>
      </w:r>
      <w:r w:rsidRPr="00810C35">
        <w:t xml:space="preserve">students enrolled in a secondary school course. </w:t>
      </w:r>
      <w:r w:rsidR="009451C1" w:rsidRPr="00810C35">
        <w:t>Where DE accepts responsibility for approving a student’s welfare arrangements, the s</w:t>
      </w:r>
      <w:r w:rsidRPr="00810C35">
        <w:t xml:space="preserve">tudent must be at least </w:t>
      </w:r>
      <w:r w:rsidR="005B1AC0">
        <w:t>15</w:t>
      </w:r>
      <w:r w:rsidRPr="00810C35">
        <w:t xml:space="preserve"> years of age </w:t>
      </w:r>
      <w:r w:rsidR="009451C1" w:rsidRPr="00810C35">
        <w:t xml:space="preserve">at the time of </w:t>
      </w:r>
      <w:r w:rsidR="008A47B7">
        <w:t>homestay arrangement commencement</w:t>
      </w:r>
      <w:r w:rsidRPr="00810C35">
        <w:t xml:space="preserve">. </w:t>
      </w:r>
    </w:p>
    <w:p w14:paraId="59200579" w14:textId="6FD03C5F" w:rsidR="008E4C06" w:rsidRPr="00810C35" w:rsidRDefault="006643D5" w:rsidP="008D08EA">
      <w:pPr>
        <w:pStyle w:val="BodyText"/>
      </w:pPr>
      <w:r w:rsidRPr="00810C35">
        <w:t xml:space="preserve">DE (IED) requires students 18 years of age and over to live in approved accommodation for the duration of their study as a condition of their enrolment at the school. In </w:t>
      </w:r>
      <w:r w:rsidR="00221299">
        <w:t>special</w:t>
      </w:r>
      <w:r w:rsidRPr="00810C35">
        <w:t xml:space="preserve"> circumstances, DE (IED) may allow alternative living arrangements for students over 18 years of age in consultation with the school.</w:t>
      </w:r>
      <w:r w:rsidR="004E5C84" w:rsidRPr="00810C35">
        <w:t xml:space="preserve"> </w:t>
      </w:r>
      <w:r w:rsidR="008E4C06" w:rsidRPr="00810C35">
        <w:t xml:space="preserve"> </w:t>
      </w:r>
    </w:p>
    <w:p w14:paraId="092601B5" w14:textId="6B915AF4" w:rsidR="00171C1C" w:rsidRPr="00810C35" w:rsidRDefault="00171C1C" w:rsidP="008D08EA">
      <w:pPr>
        <w:pStyle w:val="BodyText"/>
      </w:pPr>
      <w:r w:rsidRPr="00810C35">
        <w:t xml:space="preserve">For further information on </w:t>
      </w:r>
      <w:r w:rsidR="008E4C06" w:rsidRPr="00810C35">
        <w:t>h</w:t>
      </w:r>
      <w:r w:rsidRPr="00810C35">
        <w:t xml:space="preserve">omestays and student </w:t>
      </w:r>
      <w:r w:rsidR="008E4C06" w:rsidRPr="00810C35">
        <w:t>a</w:t>
      </w:r>
      <w:r w:rsidRPr="00810C35">
        <w:t xml:space="preserve">ccommodation and </w:t>
      </w:r>
      <w:r w:rsidR="008E4C06" w:rsidRPr="00810C35">
        <w:t>w</w:t>
      </w:r>
      <w:r w:rsidRPr="00810C35">
        <w:t xml:space="preserve">elfare please </w:t>
      </w:r>
      <w:r w:rsidR="00CD32F9">
        <w:t>refer to</w:t>
      </w:r>
      <w:r w:rsidR="00CD32F9" w:rsidRPr="00810C35">
        <w:t xml:space="preserve"> </w:t>
      </w:r>
      <w:r w:rsidRPr="00810C35">
        <w:t xml:space="preserve">the </w:t>
      </w:r>
      <w:hyperlink r:id="rId24" w:history="1">
        <w:r w:rsidRPr="00F40C30">
          <w:rPr>
            <w:rStyle w:val="Hyperlink"/>
          </w:rPr>
          <w:t>ISP Homestay Policy</w:t>
        </w:r>
      </w:hyperlink>
      <w:r w:rsidRPr="00810C35">
        <w:t xml:space="preserve">, </w:t>
      </w:r>
      <w:hyperlink r:id="rId25" w:history="1">
        <w:r w:rsidRPr="00F40C30">
          <w:rPr>
            <w:rStyle w:val="Hyperlink"/>
          </w:rPr>
          <w:t>ISP Homestay Procedure</w:t>
        </w:r>
      </w:hyperlink>
      <w:r w:rsidRPr="00810C35">
        <w:t xml:space="preserve">, and </w:t>
      </w:r>
      <w:r w:rsidR="008C46F1">
        <w:t xml:space="preserve">the </w:t>
      </w:r>
      <w:hyperlink r:id="rId26" w:history="1">
        <w:r w:rsidRPr="00F40C30">
          <w:rPr>
            <w:rStyle w:val="Hyperlink"/>
          </w:rPr>
          <w:t>ISP Accommodation and Welfare Policy</w:t>
        </w:r>
      </w:hyperlink>
      <w:r w:rsidRPr="00810C35">
        <w:t>.</w:t>
      </w:r>
    </w:p>
    <w:p w14:paraId="2E62EEEC" w14:textId="356290A2" w:rsidR="00892E3F" w:rsidRDefault="00892E3F" w:rsidP="00892E3F">
      <w:pPr>
        <w:pStyle w:val="Heading2"/>
      </w:pPr>
      <w:r>
        <w:t>Unsuccessful applications</w:t>
      </w:r>
    </w:p>
    <w:p w14:paraId="2474A7F5" w14:textId="22A8EE1E" w:rsidR="00892E3F" w:rsidRPr="00810C35" w:rsidRDefault="00892E3F" w:rsidP="008D08EA">
      <w:pPr>
        <w:pStyle w:val="BodyText"/>
      </w:pPr>
      <w:r w:rsidRPr="00810C35">
        <w:t>DE (IED) notifies applicants</w:t>
      </w:r>
      <w:r w:rsidR="006009D0" w:rsidRPr="00810C35">
        <w:t xml:space="preserve"> if they are unsuccessful in their application to </w:t>
      </w:r>
      <w:r w:rsidR="002715A2" w:rsidRPr="00810C35">
        <w:t>enrol in the</w:t>
      </w:r>
      <w:r w:rsidR="006009D0" w:rsidRPr="00810C35">
        <w:t xml:space="preserve"> ISP</w:t>
      </w:r>
      <w:r w:rsidRPr="00810C35">
        <w:t xml:space="preserve">. Applications may be unsuccessful for a variety of reasons, </w:t>
      </w:r>
      <w:r w:rsidR="00380AE8" w:rsidRPr="00810C35">
        <w:t>including where</w:t>
      </w:r>
      <w:r w:rsidRPr="00810C35">
        <w:t xml:space="preserve">: </w:t>
      </w:r>
    </w:p>
    <w:p w14:paraId="2A5C1BC6" w14:textId="07728CAA" w:rsidR="00892E3F" w:rsidRDefault="001371C0" w:rsidP="00810C35">
      <w:pPr>
        <w:pStyle w:val="ListBullet"/>
      </w:pPr>
      <w:r>
        <w:t>T</w:t>
      </w:r>
      <w:r w:rsidR="00892E3F">
        <w:t xml:space="preserve">he </w:t>
      </w:r>
      <w:r w:rsidR="004F33E4">
        <w:t>student</w:t>
      </w:r>
      <w:r w:rsidR="00892E3F">
        <w:t xml:space="preserve"> does not meet </w:t>
      </w:r>
      <w:r>
        <w:t>ISP</w:t>
      </w:r>
      <w:r w:rsidR="00892E3F">
        <w:t xml:space="preserve"> </w:t>
      </w:r>
      <w:r w:rsidR="00F17C14">
        <w:t xml:space="preserve">eligibility </w:t>
      </w:r>
      <w:r w:rsidR="00892E3F">
        <w:t>requirements</w:t>
      </w:r>
    </w:p>
    <w:p w14:paraId="2AA2567E" w14:textId="30652B29" w:rsidR="00892E3F" w:rsidRPr="00DD60C5" w:rsidRDefault="001371C0" w:rsidP="00810C35">
      <w:pPr>
        <w:pStyle w:val="ListBullet"/>
      </w:pPr>
      <w:r>
        <w:t>T</w:t>
      </w:r>
      <w:r w:rsidR="00892E3F" w:rsidRPr="00DD60C5">
        <w:t>here is no availability in the applicant’s preferred schools</w:t>
      </w:r>
      <w:r w:rsidR="001F5FA5">
        <w:t xml:space="preserve"> </w:t>
      </w:r>
      <w:r w:rsidR="00CB4A16">
        <w:t xml:space="preserve">– </w:t>
      </w:r>
      <w:r w:rsidR="001F5FA5">
        <w:t xml:space="preserve">DE (IED) will request additional school preferences until either the student is </w:t>
      </w:r>
      <w:r w:rsidR="00A03F13">
        <w:t>accepted,</w:t>
      </w:r>
      <w:r w:rsidR="001F5FA5">
        <w:t xml:space="preserve"> or</w:t>
      </w:r>
      <w:r w:rsidR="00CB4A16">
        <w:t xml:space="preserve"> the applicatio</w:t>
      </w:r>
      <w:r w:rsidR="001D7FA1">
        <w:t>n</w:t>
      </w:r>
      <w:r w:rsidR="00CB4A16">
        <w:t xml:space="preserve"> is withdrawn</w:t>
      </w:r>
    </w:p>
    <w:p w14:paraId="7B0C30D0" w14:textId="05DA72C6" w:rsidR="00B43684" w:rsidRDefault="001371C0" w:rsidP="00B43684">
      <w:pPr>
        <w:pStyle w:val="ListBullet"/>
      </w:pPr>
      <w:r>
        <w:t>T</w:t>
      </w:r>
      <w:r w:rsidR="00892E3F">
        <w:t xml:space="preserve">here are outstanding fees owed to DE (IED) by the student or their </w:t>
      </w:r>
      <w:r w:rsidR="001315AF" w:rsidRPr="005B1354">
        <w:t>parent</w:t>
      </w:r>
      <w:r w:rsidR="001315AF">
        <w:t>(</w:t>
      </w:r>
      <w:r w:rsidR="001315AF" w:rsidRPr="005B1354">
        <w:t>s</w:t>
      </w:r>
      <w:r w:rsidR="001315AF">
        <w:t>) or legal</w:t>
      </w:r>
      <w:r w:rsidR="001315AF" w:rsidRPr="005B1354">
        <w:t xml:space="preserve"> </w:t>
      </w:r>
      <w:r w:rsidR="001315AF">
        <w:t>guardian(s)</w:t>
      </w:r>
    </w:p>
    <w:p w14:paraId="08564FFD" w14:textId="7B97740C" w:rsidR="009E0482" w:rsidRDefault="001371C0" w:rsidP="004C7A0C">
      <w:pPr>
        <w:pStyle w:val="ListBullet"/>
      </w:pPr>
      <w:r>
        <w:t>T</w:t>
      </w:r>
      <w:r w:rsidR="00B43684">
        <w:t>he student does not have appropriate welfare arrangements in place</w:t>
      </w:r>
      <w:r w:rsidR="00A43B51">
        <w:t>.</w:t>
      </w:r>
      <w:r w:rsidR="00892E3F">
        <w:t xml:space="preserve"> </w:t>
      </w:r>
    </w:p>
    <w:p w14:paraId="371FBDE7" w14:textId="0521678D" w:rsidR="009E0482" w:rsidRDefault="009E0482" w:rsidP="004C7A0C">
      <w:pPr>
        <w:pStyle w:val="BodyText"/>
      </w:pPr>
      <w:r>
        <w:t xml:space="preserve">If DE (IED) determines that the student does not meet </w:t>
      </w:r>
      <w:r w:rsidR="001371C0">
        <w:t xml:space="preserve">ISP </w:t>
      </w:r>
      <w:r>
        <w:t xml:space="preserve">eligibility requirements, students and/or parent/s may appeal the decision in accordance with the </w:t>
      </w:r>
      <w:hyperlink r:id="rId27" w:history="1">
        <w:r w:rsidRPr="003D2AB2">
          <w:rPr>
            <w:rStyle w:val="Hyperlink"/>
          </w:rPr>
          <w:t>ISP Complaints and Appeals Policy</w:t>
        </w:r>
      </w:hyperlink>
      <w:r>
        <w:t>.</w:t>
      </w:r>
    </w:p>
    <w:p w14:paraId="2735683D" w14:textId="69A00A9B" w:rsidR="008E4C06" w:rsidRDefault="008E4C06" w:rsidP="008E4C06">
      <w:pPr>
        <w:pStyle w:val="Heading2"/>
      </w:pPr>
      <w:r>
        <w:t xml:space="preserve">Recognition of </w:t>
      </w:r>
      <w:r w:rsidR="00810C35">
        <w:t xml:space="preserve">prior learning </w:t>
      </w:r>
      <w:r>
        <w:t xml:space="preserve">and </w:t>
      </w:r>
      <w:r w:rsidR="00810C35">
        <w:t>granting course credit</w:t>
      </w:r>
    </w:p>
    <w:p w14:paraId="46ECB3B7" w14:textId="3CA514CB" w:rsidR="008E4C06" w:rsidRPr="00810C35" w:rsidRDefault="008E4C06" w:rsidP="008D08EA">
      <w:pPr>
        <w:pStyle w:val="BodyText"/>
      </w:pPr>
      <w:r w:rsidRPr="00810C35">
        <w:t xml:space="preserve">After receiving a CoE, international students </w:t>
      </w:r>
      <w:r w:rsidR="00F0632F">
        <w:t xml:space="preserve">who are </w:t>
      </w:r>
      <w:r w:rsidR="003A1CA9">
        <w:t>aiming to undertake</w:t>
      </w:r>
      <w:r w:rsidR="00F0632F">
        <w:t xml:space="preserve"> studies for the Victorian Certificate of Education (VCE), which is </w:t>
      </w:r>
      <w:r w:rsidR="003A1CA9">
        <w:t>offered in the Secondary and VCASS courses and</w:t>
      </w:r>
      <w:r w:rsidR="008A47B7">
        <w:t xml:space="preserve"> is</w:t>
      </w:r>
      <w:r w:rsidR="003A1CA9">
        <w:t xml:space="preserve"> </w:t>
      </w:r>
      <w:r w:rsidR="00BE0986">
        <w:t>typically</w:t>
      </w:r>
      <w:r w:rsidR="003A1CA9">
        <w:t xml:space="preserve"> completed by students in Years 11 and 12, </w:t>
      </w:r>
      <w:r w:rsidRPr="00810C35">
        <w:t>are able to apply for course credits</w:t>
      </w:r>
      <w:r w:rsidR="004606FE">
        <w:t xml:space="preserve"> with the endorsement of </w:t>
      </w:r>
      <w:r w:rsidR="0010622B">
        <w:t xml:space="preserve">the </w:t>
      </w:r>
      <w:r w:rsidR="004606FE">
        <w:t xml:space="preserve">principal </w:t>
      </w:r>
      <w:r w:rsidR="004E654D">
        <w:t xml:space="preserve">(or delegate) </w:t>
      </w:r>
      <w:r w:rsidR="004606FE">
        <w:t>of their school</w:t>
      </w:r>
      <w:r w:rsidRPr="00810C35">
        <w:t xml:space="preserve">. Please refer to the </w:t>
      </w:r>
      <w:hyperlink r:id="rId28" w:history="1">
        <w:r w:rsidR="00993C36" w:rsidRPr="00F40C30">
          <w:rPr>
            <w:rStyle w:val="Hyperlink"/>
          </w:rPr>
          <w:t>ISP</w:t>
        </w:r>
        <w:r w:rsidRPr="00F40C30">
          <w:rPr>
            <w:rStyle w:val="Hyperlink"/>
          </w:rPr>
          <w:t xml:space="preserve"> Course Credit Policy</w:t>
        </w:r>
      </w:hyperlink>
      <w:r w:rsidRPr="00810C35">
        <w:t xml:space="preserve"> for further information. </w:t>
      </w:r>
    </w:p>
    <w:p w14:paraId="28F6C434" w14:textId="37FE0D96" w:rsidR="007D5F01" w:rsidRDefault="007D5F01" w:rsidP="008E4C06">
      <w:pPr>
        <w:pStyle w:val="Heading2"/>
      </w:pPr>
      <w:r>
        <w:t>Entry points and duration</w:t>
      </w:r>
    </w:p>
    <w:p w14:paraId="4705D6CE" w14:textId="0C9B76FD" w:rsidR="007D5F01" w:rsidRDefault="008503FA" w:rsidP="008D08EA">
      <w:pPr>
        <w:pStyle w:val="BodyText"/>
      </w:pPr>
      <w:r>
        <w:t xml:space="preserve">DE </w:t>
      </w:r>
      <w:r w:rsidR="007D5F01">
        <w:t xml:space="preserve">sets the terms and school holiday dates for all </w:t>
      </w:r>
      <w:r>
        <w:t>Victorian</w:t>
      </w:r>
      <w:r w:rsidR="007D5F01">
        <w:t xml:space="preserve"> </w:t>
      </w:r>
      <w:r w:rsidR="008C46F1">
        <w:t xml:space="preserve">government </w:t>
      </w:r>
      <w:r w:rsidR="007D5F01">
        <w:t xml:space="preserve">schools. </w:t>
      </w:r>
      <w:r>
        <w:t>Victorian</w:t>
      </w:r>
      <w:r w:rsidR="007D5F01">
        <w:t xml:space="preserve"> </w:t>
      </w:r>
      <w:r>
        <w:t>government primary</w:t>
      </w:r>
      <w:r w:rsidR="007D5F01">
        <w:t xml:space="preserve"> schools provide 40 school weeks </w:t>
      </w:r>
      <w:r>
        <w:t>each year and secondary</w:t>
      </w:r>
      <w:r w:rsidR="00EB3C40">
        <w:t xml:space="preserve"> </w:t>
      </w:r>
      <w:r>
        <w:t xml:space="preserve">schools </w:t>
      </w:r>
      <w:r w:rsidR="00553FD9">
        <w:t xml:space="preserve">(including VCASS) </w:t>
      </w:r>
      <w:r>
        <w:t>provid</w:t>
      </w:r>
      <w:r w:rsidR="00CC609A">
        <w:t>e</w:t>
      </w:r>
      <w:r>
        <w:t xml:space="preserve"> 41 </w:t>
      </w:r>
      <w:r w:rsidR="003736BA">
        <w:t xml:space="preserve">school </w:t>
      </w:r>
      <w:r w:rsidR="007D5F01">
        <w:t>week</w:t>
      </w:r>
      <w:r>
        <w:t>s</w:t>
      </w:r>
      <w:r w:rsidR="007D5F01">
        <w:t xml:space="preserve"> </w:t>
      </w:r>
      <w:r w:rsidR="00FB672F">
        <w:t xml:space="preserve">each </w:t>
      </w:r>
      <w:r w:rsidR="007D5F01">
        <w:t xml:space="preserve">year. </w:t>
      </w:r>
      <w:r w:rsidR="00931C81">
        <w:t>School holidays are 2 weeks in duration for the holidays occurring between Term</w:t>
      </w:r>
      <w:r w:rsidR="003736BA">
        <w:t xml:space="preserve"> </w:t>
      </w:r>
      <w:r w:rsidR="00931C81">
        <w:t xml:space="preserve">1 and Term 4. Summer holidays (between Term 4 and </w:t>
      </w:r>
      <w:r w:rsidR="003736BA">
        <w:t xml:space="preserve">Term 1 the </w:t>
      </w:r>
      <w:r w:rsidR="00931C81">
        <w:t>follow</w:t>
      </w:r>
      <w:r w:rsidR="003736BA">
        <w:t>ing</w:t>
      </w:r>
      <w:r w:rsidR="00931C81">
        <w:t xml:space="preserve"> year) are typically 5 weeks in duration. </w:t>
      </w:r>
      <w:r w:rsidR="00BB2BDD">
        <w:t xml:space="preserve">For specific term and holiday dates please refer to the </w:t>
      </w:r>
      <w:hyperlink r:id="rId29" w:history="1">
        <w:r w:rsidR="00CF57AF" w:rsidRPr="00CF57AF">
          <w:rPr>
            <w:rStyle w:val="Hyperlink"/>
          </w:rPr>
          <w:t>DE website</w:t>
        </w:r>
      </w:hyperlink>
      <w:r w:rsidR="00BB2BDD">
        <w:t>.</w:t>
      </w:r>
    </w:p>
    <w:p w14:paraId="4A2E1A42" w14:textId="61DE0ABC" w:rsidR="008503FA" w:rsidRDefault="008503FA" w:rsidP="008D08EA">
      <w:pPr>
        <w:pStyle w:val="BodyText"/>
      </w:pPr>
      <w:r>
        <w:t>Students</w:t>
      </w:r>
      <w:r w:rsidR="007D5F01">
        <w:t xml:space="preserve"> can apply to commence </w:t>
      </w:r>
      <w:r>
        <w:t xml:space="preserve">an </w:t>
      </w:r>
      <w:r w:rsidR="0012735F">
        <w:t xml:space="preserve">International Student Program </w:t>
      </w:r>
      <w:r w:rsidR="007D5F01">
        <w:t>course in Term 1, 2, 3 or 4 of the school year</w:t>
      </w:r>
      <w:r w:rsidR="00182FD1">
        <w:t xml:space="preserve">. It is preferred that applications are submitted at least </w:t>
      </w:r>
      <w:r w:rsidR="00C95F89">
        <w:t>6</w:t>
      </w:r>
      <w:r w:rsidR="00182FD1">
        <w:t xml:space="preserve"> months prior</w:t>
      </w:r>
      <w:r w:rsidR="00C452CA">
        <w:t xml:space="preserve"> but no earlier than 1 year before</w:t>
      </w:r>
      <w:r w:rsidR="00182FD1">
        <w:t xml:space="preserve"> the course commencement date for each term as set out in the online </w:t>
      </w:r>
      <w:hyperlink r:id="rId30" w:history="1">
        <w:r w:rsidR="00182FD1" w:rsidRPr="00182FD1">
          <w:rPr>
            <w:rStyle w:val="Hyperlink"/>
          </w:rPr>
          <w:t>ISP application forms</w:t>
        </w:r>
      </w:hyperlink>
      <w:r w:rsidR="00182FD1">
        <w:t>.</w:t>
      </w:r>
      <w:r w:rsidR="00FB3E9E">
        <w:t xml:space="preserve"> </w:t>
      </w:r>
    </w:p>
    <w:p w14:paraId="282D1009" w14:textId="390E750C" w:rsidR="004F149D" w:rsidRDefault="004F149D" w:rsidP="004F149D">
      <w:pPr>
        <w:pStyle w:val="Heading2"/>
      </w:pPr>
      <w:r>
        <w:t>Applications from students of another CRICOS</w:t>
      </w:r>
      <w:r w:rsidR="003736BA">
        <w:t>-registered</w:t>
      </w:r>
      <w:r>
        <w:t xml:space="preserve"> provider</w:t>
      </w:r>
    </w:p>
    <w:p w14:paraId="63CD001C" w14:textId="18AE802F" w:rsidR="004F149D" w:rsidRDefault="0042587E" w:rsidP="008C5B99">
      <w:pPr>
        <w:pStyle w:val="BodyText"/>
      </w:pPr>
      <w:r>
        <w:t>A</w:t>
      </w:r>
      <w:r w:rsidR="00FB5A79">
        <w:t xml:space="preserve"> </w:t>
      </w:r>
      <w:r w:rsidR="004F149D">
        <w:t xml:space="preserve">student </w:t>
      </w:r>
      <w:r>
        <w:t>may</w:t>
      </w:r>
      <w:r w:rsidR="004F149D">
        <w:t xml:space="preserve"> </w:t>
      </w:r>
      <w:r>
        <w:t xml:space="preserve">apply to </w:t>
      </w:r>
      <w:r w:rsidR="004F149D">
        <w:t>transfer their enrolment to a Victorian government school from another CRICOS</w:t>
      </w:r>
      <w:r w:rsidR="003736BA">
        <w:t xml:space="preserve">-registered </w:t>
      </w:r>
      <w:r w:rsidR="004F149D">
        <w:t>provider</w:t>
      </w:r>
      <w:r>
        <w:t>.</w:t>
      </w:r>
      <w:r w:rsidR="004F149D">
        <w:t xml:space="preserve"> </w:t>
      </w:r>
      <w:r w:rsidR="00182FD1">
        <w:t>In these cases, t</w:t>
      </w:r>
      <w:r w:rsidR="004F149D">
        <w:t xml:space="preserve">he student must </w:t>
      </w:r>
      <w:r>
        <w:t>have completed the first six months of their registered course, unless any of the following apply:</w:t>
      </w:r>
      <w:r w:rsidR="004F149D">
        <w:t xml:space="preserve"> </w:t>
      </w:r>
    </w:p>
    <w:p w14:paraId="4A8A2004" w14:textId="34DE3111" w:rsidR="004F149D" w:rsidRDefault="004F149D" w:rsidP="00810C35">
      <w:pPr>
        <w:pStyle w:val="ListBullet"/>
      </w:pPr>
      <w:r>
        <w:t>the releasing registered provider, or the course in which the student is enroll</w:t>
      </w:r>
      <w:r w:rsidR="00810C35">
        <w:t>ed, has ceased to be registered</w:t>
      </w:r>
    </w:p>
    <w:p w14:paraId="2FFB1E3C" w14:textId="4B0D2A3F" w:rsidR="004F149D" w:rsidRDefault="004F149D" w:rsidP="00810C35">
      <w:pPr>
        <w:pStyle w:val="ListBullet"/>
      </w:pPr>
      <w:r>
        <w:lastRenderedPageBreak/>
        <w:t xml:space="preserve">the releasing registered provider has had a sanction imposed on its registration by the </w:t>
      </w:r>
      <w:r w:rsidR="005743F1" w:rsidRPr="003F355A">
        <w:rPr>
          <w:i/>
        </w:rPr>
        <w:t>Education Services for Overseas Students Act 2000</w:t>
      </w:r>
      <w:r w:rsidR="005743F1" w:rsidRPr="002F05A8">
        <w:t xml:space="preserve"> </w:t>
      </w:r>
      <w:r>
        <w:t>agency that prevents the student from continuing their course with that registered provider</w:t>
      </w:r>
    </w:p>
    <w:p w14:paraId="4FC3A309" w14:textId="531AA141" w:rsidR="004F149D" w:rsidRDefault="004F149D" w:rsidP="003F355A">
      <w:pPr>
        <w:pStyle w:val="ListBullet"/>
      </w:pPr>
      <w:r w:rsidRPr="00292216">
        <w:t xml:space="preserve">the releasing registered provider has agreed to the student’s release and recorded the date of effect and reason for release in </w:t>
      </w:r>
      <w:r w:rsidR="003F355A">
        <w:t xml:space="preserve">the </w:t>
      </w:r>
      <w:r w:rsidR="003F355A" w:rsidRPr="003F355A">
        <w:t>Provider Registration and International Student Management System</w:t>
      </w:r>
    </w:p>
    <w:p w14:paraId="1F5275CD" w14:textId="7FD0E6B3" w:rsidR="004F149D" w:rsidRDefault="004F149D" w:rsidP="00810C35">
      <w:pPr>
        <w:pStyle w:val="ListBullet"/>
      </w:pPr>
      <w:r>
        <w:t xml:space="preserve">any government sponsor of the student considers the change to be in the student’s best interests and has provided written support for the change. </w:t>
      </w:r>
    </w:p>
    <w:p w14:paraId="68B6E99D" w14:textId="7255AD2A" w:rsidR="007920C5" w:rsidRPr="008D08EA" w:rsidRDefault="007920C5" w:rsidP="008C5B99">
      <w:pPr>
        <w:pStyle w:val="BodyText"/>
      </w:pPr>
      <w:r w:rsidRPr="008D08EA">
        <w:t xml:space="preserve">If </w:t>
      </w:r>
      <w:r w:rsidR="004F149D" w:rsidRPr="008D08EA">
        <w:t xml:space="preserve">DE (IED) </w:t>
      </w:r>
      <w:r w:rsidRPr="008D08EA">
        <w:t>enrols a student under 18 years of age who has welfare arrangements approved by another registered provider, DE (IED) negotiate</w:t>
      </w:r>
      <w:r w:rsidR="00182FD1" w:rsidRPr="008D08EA">
        <w:t>s</w:t>
      </w:r>
      <w:r w:rsidRPr="008D08EA">
        <w:t xml:space="preserve"> the transfer date for welfare arrangements with the releasing registered provider to ensure there is no gap</w:t>
      </w:r>
      <w:r w:rsidR="006262BD" w:rsidRPr="008D08EA">
        <w:t xml:space="preserve">. DE (IED) also </w:t>
      </w:r>
      <w:r w:rsidRPr="008D08EA">
        <w:t>inform</w:t>
      </w:r>
      <w:r w:rsidR="00182FD1" w:rsidRPr="008D08EA">
        <w:t>s</w:t>
      </w:r>
      <w:r w:rsidRPr="008D08EA">
        <w:t xml:space="preserve"> the student of their visa obligation to maintain their current welfare arrangements </w:t>
      </w:r>
      <w:r w:rsidR="00D1431E" w:rsidRPr="008D08EA">
        <w:t>until</w:t>
      </w:r>
      <w:r w:rsidRPr="008D08EA">
        <w:t xml:space="preserve"> the transfer date</w:t>
      </w:r>
      <w:r w:rsidR="006262BD" w:rsidRPr="008D08EA">
        <w:t xml:space="preserve">, or </w:t>
      </w:r>
      <w:r w:rsidR="003F355A">
        <w:t xml:space="preserve">until they </w:t>
      </w:r>
      <w:r w:rsidR="006262BD" w:rsidRPr="008D08EA">
        <w:t xml:space="preserve">have </w:t>
      </w:r>
      <w:r w:rsidRPr="008D08EA">
        <w:t>alternate welfare arrangement</w:t>
      </w:r>
      <w:r w:rsidR="00182FD1" w:rsidRPr="008D08EA">
        <w:t>s</w:t>
      </w:r>
      <w:r w:rsidR="006262BD" w:rsidRPr="008D08EA">
        <w:t xml:space="preserve"> approved</w:t>
      </w:r>
      <w:r w:rsidRPr="008D08EA">
        <w:t xml:space="preserve"> </w:t>
      </w:r>
      <w:r w:rsidR="00182FD1" w:rsidRPr="008D08EA">
        <w:t>(</w:t>
      </w:r>
      <w:r w:rsidR="00C04727" w:rsidRPr="008D08EA">
        <w:t>e.g.,</w:t>
      </w:r>
      <w:r w:rsidR="00182FD1" w:rsidRPr="008D08EA">
        <w:t xml:space="preserve"> where the student lives with </w:t>
      </w:r>
      <w:r w:rsidR="003F355A">
        <w:t>their</w:t>
      </w:r>
      <w:r w:rsidR="00182FD1" w:rsidRPr="008D08EA">
        <w:t xml:space="preserve"> </w:t>
      </w:r>
      <w:r w:rsidR="001315AF" w:rsidRPr="005B1354">
        <w:t>parent</w:t>
      </w:r>
      <w:r w:rsidR="001315AF">
        <w:t>(</w:t>
      </w:r>
      <w:r w:rsidR="001315AF" w:rsidRPr="005B1354">
        <w:t>s</w:t>
      </w:r>
      <w:r w:rsidR="001315AF">
        <w:t>) or legal</w:t>
      </w:r>
      <w:r w:rsidR="001315AF" w:rsidRPr="005B1354">
        <w:t xml:space="preserve"> </w:t>
      </w:r>
      <w:r w:rsidR="001315AF">
        <w:t xml:space="preserve">guardian(s) </w:t>
      </w:r>
      <w:r w:rsidR="00182FD1" w:rsidRPr="008D08EA">
        <w:t xml:space="preserve">or DHA-approved relative) </w:t>
      </w:r>
      <w:r w:rsidRPr="008D08EA">
        <w:t xml:space="preserve">or return to their home country until the new approved welfare arrangements take effect. </w:t>
      </w:r>
    </w:p>
    <w:p w14:paraId="1D440DC8" w14:textId="654B0E0C" w:rsidR="004F149D" w:rsidRDefault="004F149D" w:rsidP="008C5B99">
      <w:pPr>
        <w:pStyle w:val="BodyText"/>
      </w:pPr>
      <w:r>
        <w:t xml:space="preserve">A request to transfer from another </w:t>
      </w:r>
      <w:r w:rsidR="00163B82">
        <w:t>CRICOS-</w:t>
      </w:r>
      <w:r>
        <w:t xml:space="preserve">registered provider will be refused where: </w:t>
      </w:r>
    </w:p>
    <w:p w14:paraId="56D1711F" w14:textId="3FA929CF" w:rsidR="004F149D" w:rsidRDefault="004F149D" w:rsidP="00810C35">
      <w:pPr>
        <w:pStyle w:val="ListBullet"/>
      </w:pPr>
      <w:r>
        <w:t xml:space="preserve">the requirements above are not </w:t>
      </w:r>
      <w:r w:rsidR="007E506D">
        <w:t>satisfied</w:t>
      </w:r>
    </w:p>
    <w:p w14:paraId="3BED8655" w14:textId="57B5B2F4" w:rsidR="004F149D" w:rsidRDefault="004F149D" w:rsidP="00810C35">
      <w:pPr>
        <w:pStyle w:val="ListBullet"/>
      </w:pPr>
      <w:r>
        <w:t xml:space="preserve">it is deemed </w:t>
      </w:r>
      <w:r w:rsidR="003F355A">
        <w:t xml:space="preserve">that </w:t>
      </w:r>
      <w:r>
        <w:t xml:space="preserve">the applicant is trying to avoid being reported to </w:t>
      </w:r>
      <w:r w:rsidR="00630DDA">
        <w:t>DHA</w:t>
      </w:r>
      <w:r w:rsidR="00182FD1">
        <w:t xml:space="preserve"> </w:t>
      </w:r>
      <w:r>
        <w:t>for failing to meet attendance or course progress requirements</w:t>
      </w:r>
    </w:p>
    <w:p w14:paraId="22473D14" w14:textId="5BE12056" w:rsidR="004F149D" w:rsidRDefault="004F149D" w:rsidP="00810C35">
      <w:pPr>
        <w:pStyle w:val="ListBullet"/>
      </w:pPr>
      <w:r>
        <w:t>DE (IED) is aware that the applicant owes fees to their current provider</w:t>
      </w:r>
      <w:r w:rsidR="0011043E">
        <w:t>.</w:t>
      </w:r>
    </w:p>
    <w:p w14:paraId="041F0AE5" w14:textId="0855358E" w:rsidR="009A20EC" w:rsidRDefault="00352A6B" w:rsidP="009A20EC">
      <w:pPr>
        <w:pStyle w:val="Heading2"/>
      </w:pPr>
      <w:r>
        <w:t>Legislation</w:t>
      </w:r>
      <w:r w:rsidR="0005754E">
        <w:t xml:space="preserve"> </w:t>
      </w:r>
    </w:p>
    <w:p w14:paraId="35F1AE76" w14:textId="64226B16" w:rsidR="002F05A8" w:rsidRPr="00A119CA" w:rsidRDefault="002F05A8" w:rsidP="00810C35">
      <w:pPr>
        <w:pStyle w:val="ListBullet"/>
      </w:pPr>
      <w:r w:rsidRPr="00810C35">
        <w:rPr>
          <w:i/>
        </w:rPr>
        <w:t xml:space="preserve">Education Services </w:t>
      </w:r>
      <w:r w:rsidR="00AB44E6" w:rsidRPr="00810C35">
        <w:rPr>
          <w:i/>
        </w:rPr>
        <w:t xml:space="preserve">for </w:t>
      </w:r>
      <w:r w:rsidRPr="00810C35">
        <w:rPr>
          <w:i/>
        </w:rPr>
        <w:t>Overseas Students Act 2000</w:t>
      </w:r>
      <w:r w:rsidRPr="00A119CA">
        <w:t xml:space="preserve"> </w:t>
      </w:r>
      <w:r w:rsidRPr="008C5B99">
        <w:t>(Cth)</w:t>
      </w:r>
    </w:p>
    <w:p w14:paraId="1B31260E" w14:textId="77777777" w:rsidR="00AB44E6" w:rsidRPr="00A119CA" w:rsidRDefault="00AB44E6" w:rsidP="00810C35">
      <w:pPr>
        <w:pStyle w:val="ListBullet"/>
      </w:pPr>
      <w:r w:rsidRPr="00810C35">
        <w:rPr>
          <w:i/>
        </w:rPr>
        <w:t>Education Services for Overseas Students Regulations 2001</w:t>
      </w:r>
      <w:r w:rsidRPr="008C5B99">
        <w:t xml:space="preserve"> (Cth)</w:t>
      </w:r>
    </w:p>
    <w:p w14:paraId="13BEB259" w14:textId="65EBE6C0" w:rsidR="002F05A8" w:rsidRPr="00A119CA" w:rsidRDefault="002F05A8" w:rsidP="00810C35">
      <w:pPr>
        <w:pStyle w:val="ListBullet"/>
      </w:pPr>
      <w:r w:rsidRPr="00810C35">
        <w:rPr>
          <w:i/>
        </w:rPr>
        <w:t>National Code of Practice for Providers of Education to Overseas Students 2018</w:t>
      </w:r>
      <w:r w:rsidRPr="008C5B99">
        <w:rPr>
          <w:i/>
        </w:rPr>
        <w:t xml:space="preserve"> </w:t>
      </w:r>
      <w:r w:rsidRPr="008C5B99">
        <w:t>(Cth)</w:t>
      </w:r>
    </w:p>
    <w:p w14:paraId="15CCACC4" w14:textId="77777777" w:rsidR="002F05A8" w:rsidRPr="00A119CA" w:rsidRDefault="002F05A8" w:rsidP="00810C35">
      <w:pPr>
        <w:pStyle w:val="ListBullet"/>
      </w:pPr>
      <w:r w:rsidRPr="00810C35">
        <w:rPr>
          <w:i/>
        </w:rPr>
        <w:t>Migration Act 1958</w:t>
      </w:r>
      <w:r w:rsidRPr="008C5B99">
        <w:t xml:space="preserve"> (Cth)</w:t>
      </w:r>
    </w:p>
    <w:p w14:paraId="48E3ABAE" w14:textId="464EDF1C" w:rsidR="002F05A8" w:rsidRPr="00A119CA" w:rsidRDefault="002F05A8" w:rsidP="00810C35">
      <w:pPr>
        <w:pStyle w:val="ListBullet"/>
      </w:pPr>
      <w:r w:rsidRPr="00810C35">
        <w:rPr>
          <w:i/>
        </w:rPr>
        <w:t>Education and Training Reform Act 2006</w:t>
      </w:r>
      <w:r w:rsidRPr="008C5B99">
        <w:t xml:space="preserve"> (Vic)</w:t>
      </w:r>
    </w:p>
    <w:p w14:paraId="5AD21408" w14:textId="4B2513CD" w:rsidR="00AB44E6" w:rsidRPr="00A119CA" w:rsidRDefault="00AB44E6" w:rsidP="00810C35">
      <w:pPr>
        <w:pStyle w:val="ListBullet"/>
      </w:pPr>
      <w:r w:rsidRPr="00810C35">
        <w:rPr>
          <w:i/>
        </w:rPr>
        <w:t>Education and Training Reform Regulations 2017</w:t>
      </w:r>
      <w:r w:rsidRPr="008C5B99">
        <w:t xml:space="preserve"> (Vic)</w:t>
      </w:r>
    </w:p>
    <w:p w14:paraId="42A44205" w14:textId="51453E5E" w:rsidR="00AB44E6" w:rsidRPr="002F05A8" w:rsidRDefault="00810C35" w:rsidP="008C5B99">
      <w:pPr>
        <w:pStyle w:val="ListBullet"/>
      </w:pPr>
      <w:r w:rsidRPr="00810C35">
        <w:rPr>
          <w:i/>
        </w:rPr>
        <w:t>Ministerial Order 819 – Fees for Overseas Students in Government Schools</w:t>
      </w:r>
      <w:r w:rsidRPr="00031D02">
        <w:t xml:space="preserve"> (Vic)</w:t>
      </w:r>
    </w:p>
    <w:p w14:paraId="231C4F03" w14:textId="7C349F7E" w:rsidR="009A20EC" w:rsidRDefault="009A20EC" w:rsidP="009A20EC">
      <w:pPr>
        <w:pStyle w:val="Heading2"/>
      </w:pPr>
      <w:r>
        <w:t xml:space="preserve">Associated </w:t>
      </w:r>
      <w:r w:rsidR="00221299">
        <w:t>d</w:t>
      </w:r>
      <w:r>
        <w:t>ocuments</w:t>
      </w:r>
    </w:p>
    <w:p w14:paraId="1D04A172" w14:textId="0960E7A4" w:rsidR="00A119CA" w:rsidRDefault="006834B6" w:rsidP="00810C35">
      <w:pPr>
        <w:pStyle w:val="ListBullet"/>
      </w:pPr>
      <w:hyperlink r:id="rId31" w:history="1">
        <w:r w:rsidR="00A119CA" w:rsidRPr="00F40C30">
          <w:rPr>
            <w:rStyle w:val="Hyperlink"/>
          </w:rPr>
          <w:t>ISP Admissions and Enrolment Procedure</w:t>
        </w:r>
      </w:hyperlink>
    </w:p>
    <w:p w14:paraId="4B2272CE" w14:textId="5E9BE09C" w:rsidR="00EA42C4" w:rsidRDefault="006834B6" w:rsidP="00810C35">
      <w:pPr>
        <w:pStyle w:val="ListBullet"/>
      </w:pPr>
      <w:hyperlink r:id="rId32" w:history="1">
        <w:r w:rsidR="00EA42C4" w:rsidRPr="008A1AAC">
          <w:rPr>
            <w:rStyle w:val="Hyperlink"/>
          </w:rPr>
          <w:t>ISP Application Forms</w:t>
        </w:r>
      </w:hyperlink>
    </w:p>
    <w:p w14:paraId="039B14BE" w14:textId="0D2B679C" w:rsidR="00EA42C4" w:rsidRPr="00A119CA" w:rsidRDefault="006834B6" w:rsidP="00810C35">
      <w:pPr>
        <w:pStyle w:val="ListBullet"/>
        <w:rPr>
          <w:rStyle w:val="Hyperlink"/>
          <w:color w:val="404040" w:themeColor="text1" w:themeTint="BF"/>
          <w:u w:val="none"/>
        </w:rPr>
      </w:pPr>
      <w:hyperlink r:id="rId33" w:history="1">
        <w:r w:rsidR="00EA42C4" w:rsidRPr="008A1AAC">
          <w:rPr>
            <w:rStyle w:val="Hyperlink"/>
          </w:rPr>
          <w:t>ISP Terms</w:t>
        </w:r>
        <w:r w:rsidR="00EA42C4">
          <w:rPr>
            <w:rStyle w:val="Hyperlink"/>
          </w:rPr>
          <w:t xml:space="preserve">, </w:t>
        </w:r>
        <w:r w:rsidR="00EA42C4" w:rsidRPr="008A1AAC">
          <w:rPr>
            <w:rStyle w:val="Hyperlink"/>
          </w:rPr>
          <w:t>Conditions and Policies</w:t>
        </w:r>
      </w:hyperlink>
    </w:p>
    <w:p w14:paraId="6A5E41BB" w14:textId="43307BD6" w:rsidR="00EA42C4" w:rsidRPr="004C7A0C" w:rsidRDefault="003A762A" w:rsidP="00810C35">
      <w:pPr>
        <w:pStyle w:val="ListBullet"/>
        <w:rPr>
          <w:rStyle w:val="Hyperlink"/>
          <w:color w:val="404040" w:themeColor="text1" w:themeTint="BF"/>
          <w:u w:val="none"/>
        </w:rPr>
      </w:pPr>
      <w:hyperlink r:id="rId34" w:history="1">
        <w:r w:rsidRPr="003A762A">
          <w:rPr>
            <w:rStyle w:val="Hyperlink"/>
          </w:rPr>
          <w:t>International Student Visa Fee Table</w:t>
        </w:r>
      </w:hyperlink>
    </w:p>
    <w:p w14:paraId="3256706A" w14:textId="3D3EF6F8" w:rsidR="003D2AB2" w:rsidRDefault="006834B6" w:rsidP="00810C35">
      <w:pPr>
        <w:pStyle w:val="ListBullet"/>
      </w:pPr>
      <w:hyperlink r:id="rId35" w:history="1">
        <w:r w:rsidR="003D2AB2" w:rsidRPr="003D2AB2">
          <w:rPr>
            <w:rStyle w:val="Hyperlink"/>
          </w:rPr>
          <w:t>ISP Education Agent Engagement Policy</w:t>
        </w:r>
      </w:hyperlink>
    </w:p>
    <w:p w14:paraId="4689B005" w14:textId="2A0B133C" w:rsidR="00C140D6" w:rsidRDefault="006834B6" w:rsidP="00810C35">
      <w:pPr>
        <w:pStyle w:val="ListBullet"/>
      </w:pPr>
      <w:hyperlink r:id="rId36" w:history="1">
        <w:r w:rsidR="00EA42C4" w:rsidRPr="00F40C30">
          <w:rPr>
            <w:rStyle w:val="Hyperlink"/>
          </w:rPr>
          <w:t xml:space="preserve">ISP Homestay </w:t>
        </w:r>
        <w:r w:rsidR="00C140D6" w:rsidRPr="00F40C30">
          <w:rPr>
            <w:rStyle w:val="Hyperlink"/>
          </w:rPr>
          <w:t>Policy</w:t>
        </w:r>
      </w:hyperlink>
    </w:p>
    <w:p w14:paraId="1C407AF7" w14:textId="1E104346" w:rsidR="00EA42C4" w:rsidRDefault="006834B6" w:rsidP="00810C35">
      <w:pPr>
        <w:pStyle w:val="ListBullet"/>
      </w:pPr>
      <w:hyperlink r:id="rId37" w:history="1">
        <w:r w:rsidR="00C140D6" w:rsidRPr="00F40C30">
          <w:rPr>
            <w:rStyle w:val="Hyperlink"/>
          </w:rPr>
          <w:t>ISP Homestay Procedure</w:t>
        </w:r>
      </w:hyperlink>
      <w:r w:rsidR="00EA42C4">
        <w:t xml:space="preserve"> </w:t>
      </w:r>
    </w:p>
    <w:p w14:paraId="7ABCDDC7" w14:textId="18CBBD0C" w:rsidR="00EA42C4" w:rsidRDefault="006834B6" w:rsidP="00810C35">
      <w:pPr>
        <w:pStyle w:val="ListBullet"/>
      </w:pPr>
      <w:hyperlink r:id="rId38" w:history="1">
        <w:r w:rsidR="00EA42C4" w:rsidRPr="00F40C30">
          <w:rPr>
            <w:rStyle w:val="Hyperlink"/>
          </w:rPr>
          <w:t>ISP Accommodation and Welfare Policy</w:t>
        </w:r>
      </w:hyperlink>
    </w:p>
    <w:p w14:paraId="330EDFD3" w14:textId="72E48F2B" w:rsidR="00993C36" w:rsidRPr="004C7A0C" w:rsidRDefault="006834B6" w:rsidP="00810C35">
      <w:pPr>
        <w:pStyle w:val="ListBullet"/>
        <w:rPr>
          <w:rStyle w:val="Hyperlink"/>
          <w:color w:val="404040" w:themeColor="text1" w:themeTint="BF"/>
          <w:u w:val="none"/>
        </w:rPr>
      </w:pPr>
      <w:hyperlink r:id="rId39" w:history="1">
        <w:r w:rsidR="00993C36" w:rsidRPr="00F40C30">
          <w:rPr>
            <w:rStyle w:val="Hyperlink"/>
          </w:rPr>
          <w:t>ISP Course Credit Policy</w:t>
        </w:r>
      </w:hyperlink>
    </w:p>
    <w:p w14:paraId="455548A6" w14:textId="73D0F506" w:rsidR="003D2AB2" w:rsidRPr="004C7A0C" w:rsidRDefault="006834B6" w:rsidP="00810C35">
      <w:pPr>
        <w:pStyle w:val="ListBullet"/>
        <w:rPr>
          <w:rStyle w:val="Hyperlink"/>
          <w:color w:val="404040" w:themeColor="text1" w:themeTint="BF"/>
          <w:u w:val="none"/>
        </w:rPr>
      </w:pPr>
      <w:hyperlink r:id="rId40" w:history="1">
        <w:r w:rsidR="003D2AB2" w:rsidRPr="003D2AB2">
          <w:rPr>
            <w:rStyle w:val="Hyperlink"/>
          </w:rPr>
          <w:t>ISP Complaints and Appeals Policy</w:t>
        </w:r>
      </w:hyperlink>
    </w:p>
    <w:p w14:paraId="51D90046" w14:textId="360B95DD" w:rsidR="003D2AB2" w:rsidRPr="002F05A8" w:rsidRDefault="002C31E4" w:rsidP="00810C35">
      <w:pPr>
        <w:pStyle w:val="ListBullet"/>
      </w:pPr>
      <w:hyperlink r:id="rId41" w:history="1">
        <w:r w:rsidR="003D2AB2" w:rsidRPr="003D2AB2">
          <w:rPr>
            <w:rStyle w:val="Hyperlink"/>
          </w:rPr>
          <w:t>Enrolment Policy</w:t>
        </w:r>
      </w:hyperlink>
    </w:p>
    <w:p w14:paraId="35634708" w14:textId="6FB595C8" w:rsidR="009A20EC" w:rsidRDefault="009A20EC" w:rsidP="00EA42C4">
      <w:pPr>
        <w:pStyle w:val="Heading2"/>
      </w:pPr>
      <w:r>
        <w:t>Definitions</w:t>
      </w:r>
    </w:p>
    <w:p w14:paraId="11F9EF6B" w14:textId="6D27100A" w:rsidR="000B63D8" w:rsidRPr="000B63D8" w:rsidRDefault="000B63D8" w:rsidP="00612D8B">
      <w:pPr>
        <w:pStyle w:val="ListBullet"/>
      </w:pPr>
      <w:r w:rsidRPr="000B63D8">
        <w:rPr>
          <w:b/>
        </w:rPr>
        <w:t>AEAS</w:t>
      </w:r>
      <w:r>
        <w:t xml:space="preserve"> – </w:t>
      </w:r>
      <w:r w:rsidR="00465E19">
        <w:t>Australian Education Assessment Services</w:t>
      </w:r>
    </w:p>
    <w:p w14:paraId="301FF6E1" w14:textId="4EE48BCB" w:rsidR="00612D8B" w:rsidRDefault="00612D8B" w:rsidP="00612D8B">
      <w:pPr>
        <w:pStyle w:val="ListBullet"/>
      </w:pPr>
      <w:r w:rsidRPr="007E2369">
        <w:rPr>
          <w:b/>
        </w:rPr>
        <w:t>Applicants</w:t>
      </w:r>
      <w:r>
        <w:t xml:space="preserve"> refers to international students (and their </w:t>
      </w:r>
      <w:r w:rsidRPr="00214081">
        <w:t>parent(s) or legal guardian(s)</w:t>
      </w:r>
      <w:r>
        <w:t>) who apply for enrolment in an ISP course</w:t>
      </w:r>
    </w:p>
    <w:p w14:paraId="7CB825DF" w14:textId="4038D19C" w:rsidR="0012735F" w:rsidRPr="007E2369" w:rsidRDefault="0012735F" w:rsidP="00612D8B">
      <w:pPr>
        <w:pStyle w:val="ListBullet"/>
      </w:pPr>
      <w:r>
        <w:rPr>
          <w:b/>
        </w:rPr>
        <w:t>CoE</w:t>
      </w:r>
      <w:r w:rsidRPr="0012735F">
        <w:rPr>
          <w:bCs/>
        </w:rPr>
        <w:t xml:space="preserve"> – Confirmation of Enrolment</w:t>
      </w:r>
    </w:p>
    <w:p w14:paraId="24D5B9DE" w14:textId="4917E9EB" w:rsidR="00EF45DE" w:rsidRPr="0004732E" w:rsidRDefault="00EF45DE" w:rsidP="00EF45DE">
      <w:pPr>
        <w:pStyle w:val="ListBullet"/>
      </w:pPr>
      <w:r w:rsidRPr="0004732E">
        <w:rPr>
          <w:b/>
        </w:rPr>
        <w:t xml:space="preserve">Compassionate circumstances </w:t>
      </w:r>
      <w:r w:rsidRPr="0004732E">
        <w:t>refers to circumstances that are not in the student’s control or created by the student and adversely impact on student welfare or course progress (for example, illness, bereavement or traumatic events may qualify)</w:t>
      </w:r>
      <w:r>
        <w:t xml:space="preserve">, as assessed on a </w:t>
      </w:r>
      <w:r w:rsidR="00973063">
        <w:t>case-by-</w:t>
      </w:r>
      <w:r>
        <w:t>case basis</w:t>
      </w:r>
    </w:p>
    <w:p w14:paraId="3648434E" w14:textId="02CD2569" w:rsidR="00EF45DE" w:rsidRDefault="00EF45DE" w:rsidP="00EF45DE">
      <w:pPr>
        <w:pStyle w:val="ListBullet"/>
      </w:pPr>
      <w:r w:rsidRPr="0004732E">
        <w:rPr>
          <w:b/>
        </w:rPr>
        <w:t>Compelling circumstances</w:t>
      </w:r>
      <w:r w:rsidRPr="0004732E">
        <w:t xml:space="preserve"> are circumstances which </w:t>
      </w:r>
      <w:r>
        <w:t xml:space="preserve">in </w:t>
      </w:r>
      <w:r w:rsidRPr="0004732E">
        <w:t>the opinion of DE (IED) are in the student’s best interests</w:t>
      </w:r>
      <w:r>
        <w:t xml:space="preserve">, as assessed on a </w:t>
      </w:r>
      <w:r w:rsidR="00973063">
        <w:t>case-by-</w:t>
      </w:r>
      <w:r>
        <w:t>case basis</w:t>
      </w:r>
    </w:p>
    <w:p w14:paraId="1AAA3E2D" w14:textId="1DBAA793" w:rsidR="0012735F" w:rsidRPr="00FB7902" w:rsidRDefault="0012735F" w:rsidP="0012735F">
      <w:pPr>
        <w:pStyle w:val="ListBullet"/>
      </w:pPr>
      <w:r w:rsidRPr="007E2369">
        <w:rPr>
          <w:b/>
        </w:rPr>
        <w:t>Course</w:t>
      </w:r>
      <w:r>
        <w:t xml:space="preserve"> refers to a course registered on CRICOS offered by the Department of Education (under DE (IED)).</w:t>
      </w:r>
    </w:p>
    <w:p w14:paraId="52D67B3F" w14:textId="03FEC4C5" w:rsidR="0012735F" w:rsidRPr="0004732E" w:rsidRDefault="0012735F" w:rsidP="00EF45DE">
      <w:pPr>
        <w:pStyle w:val="ListBullet"/>
      </w:pPr>
      <w:r>
        <w:rPr>
          <w:b/>
        </w:rPr>
        <w:t>DHA</w:t>
      </w:r>
      <w:r w:rsidRPr="0012735F">
        <w:rPr>
          <w:bCs/>
        </w:rPr>
        <w:t xml:space="preserve"> – Department of Home Affairs</w:t>
      </w:r>
    </w:p>
    <w:p w14:paraId="2C016EB1" w14:textId="1320DAA1" w:rsidR="005D5765" w:rsidRDefault="005D5765" w:rsidP="005D5765">
      <w:pPr>
        <w:pStyle w:val="ListBullet"/>
      </w:pPr>
      <w:r>
        <w:rPr>
          <w:b/>
        </w:rPr>
        <w:t xml:space="preserve">Education </w:t>
      </w:r>
      <w:r w:rsidRPr="00BD6DCE">
        <w:rPr>
          <w:b/>
        </w:rPr>
        <w:t>Agent</w:t>
      </w:r>
      <w:r>
        <w:rPr>
          <w:b/>
        </w:rPr>
        <w:t xml:space="preserve">s </w:t>
      </w:r>
      <w:r w:rsidRPr="003E425E">
        <w:t>or</w:t>
      </w:r>
      <w:r>
        <w:rPr>
          <w:b/>
        </w:rPr>
        <w:t xml:space="preserve"> agents </w:t>
      </w:r>
      <w:r>
        <w:t>refers to an education agent registered with DE (IED) to recruit students for an ISP course</w:t>
      </w:r>
    </w:p>
    <w:p w14:paraId="6DF04D7E" w14:textId="6E700FC8" w:rsidR="001B769A" w:rsidRPr="007E2369" w:rsidRDefault="001B769A" w:rsidP="001B769A">
      <w:pPr>
        <w:pStyle w:val="ListBullet"/>
      </w:pPr>
      <w:r w:rsidRPr="001B769A">
        <w:rPr>
          <w:b/>
        </w:rPr>
        <w:t>EIKEN</w:t>
      </w:r>
      <w:r>
        <w:t xml:space="preserve"> – i</w:t>
      </w:r>
      <w:r w:rsidRPr="001B769A">
        <w:t>s a</w:t>
      </w:r>
      <w:r>
        <w:t xml:space="preserve"> Japanese</w:t>
      </w:r>
      <w:r w:rsidRPr="001B769A">
        <w:t xml:space="preserve"> public-interest incorporated foundation</w:t>
      </w:r>
      <w:r>
        <w:t xml:space="preserve"> that</w:t>
      </w:r>
      <w:r w:rsidRPr="001B769A">
        <w:t xml:space="preserve"> produces and administers English-proficiency tests</w:t>
      </w:r>
    </w:p>
    <w:p w14:paraId="60203B50" w14:textId="5C1A4C76" w:rsidR="00612D8B" w:rsidRPr="00FB7902" w:rsidRDefault="00612D8B" w:rsidP="00612D8B">
      <w:pPr>
        <w:pStyle w:val="ListBullet"/>
      </w:pPr>
      <w:r w:rsidRPr="007E2369">
        <w:rPr>
          <w:b/>
        </w:rPr>
        <w:t>Homestay</w:t>
      </w:r>
      <w:r w:rsidRPr="00B26CD1">
        <w:rPr>
          <w:b/>
        </w:rPr>
        <w:t>s</w:t>
      </w:r>
      <w:r>
        <w:t xml:space="preserve"> are international student accommodation arranged by schools where DE (IED) is responsible for the welfare of the student at all times, including outside school hours</w:t>
      </w:r>
    </w:p>
    <w:p w14:paraId="169512D7" w14:textId="700079D9" w:rsidR="00465E19" w:rsidRPr="00465E19" w:rsidRDefault="00465E19" w:rsidP="00E770C4">
      <w:pPr>
        <w:pStyle w:val="ListBullet"/>
      </w:pPr>
      <w:r w:rsidRPr="00465E19">
        <w:rPr>
          <w:b/>
          <w:bCs/>
        </w:rPr>
        <w:t>IDAT</w:t>
      </w:r>
      <w:r>
        <w:t xml:space="preserve"> - International Diagnostic and Admission Test or equivalent</w:t>
      </w:r>
    </w:p>
    <w:p w14:paraId="69AF5717" w14:textId="64E3EA01" w:rsidR="00EC1877" w:rsidRPr="00FB7902" w:rsidRDefault="00EC1877" w:rsidP="00E770C4">
      <w:pPr>
        <w:pStyle w:val="ListBullet"/>
      </w:pPr>
      <w:r>
        <w:rPr>
          <w:b/>
        </w:rPr>
        <w:t>International student</w:t>
      </w:r>
      <w:r w:rsidR="00B03CBB">
        <w:rPr>
          <w:b/>
        </w:rPr>
        <w:t>s</w:t>
      </w:r>
      <w:r>
        <w:rPr>
          <w:b/>
        </w:rPr>
        <w:t xml:space="preserve"> (or </w:t>
      </w:r>
      <w:r w:rsidR="00662BF5">
        <w:rPr>
          <w:b/>
        </w:rPr>
        <w:t>s</w:t>
      </w:r>
      <w:r w:rsidRPr="0079298B">
        <w:rPr>
          <w:b/>
        </w:rPr>
        <w:t>tudent</w:t>
      </w:r>
      <w:r w:rsidR="00B03CBB">
        <w:rPr>
          <w:b/>
        </w:rPr>
        <w:t>s</w:t>
      </w:r>
      <w:r>
        <w:rPr>
          <w:b/>
        </w:rPr>
        <w:t>)</w:t>
      </w:r>
      <w:r w:rsidRPr="00EB77BF">
        <w:t xml:space="preserve"> for the purpose of this policy </w:t>
      </w:r>
      <w:r w:rsidR="00B03CBB">
        <w:t>are</w:t>
      </w:r>
      <w:r w:rsidRPr="00EB77BF">
        <w:t xml:space="preserve"> defined as </w:t>
      </w:r>
      <w:r w:rsidR="00E770C4" w:rsidRPr="00E770C4">
        <w:t>international students participating or applying to participate in the ISP as the primary holder of a subclass 500 Student – Schools visa</w:t>
      </w:r>
      <w:r w:rsidRPr="00EB77BF">
        <w:t>.</w:t>
      </w:r>
      <w:r>
        <w:t xml:space="preserve"> </w:t>
      </w:r>
      <w:r w:rsidRPr="00046600">
        <w:t xml:space="preserve">On the </w:t>
      </w:r>
      <w:hyperlink r:id="rId42" w:history="1">
        <w:r w:rsidRPr="00046600">
          <w:rPr>
            <w:rStyle w:val="Hyperlink"/>
          </w:rPr>
          <w:t xml:space="preserve">ISP </w:t>
        </w:r>
        <w:r w:rsidRPr="00702D22">
          <w:rPr>
            <w:rStyle w:val="Hyperlink"/>
          </w:rPr>
          <w:t>A</w:t>
        </w:r>
        <w:r w:rsidRPr="00046600">
          <w:rPr>
            <w:rStyle w:val="Hyperlink"/>
          </w:rPr>
          <w:t xml:space="preserve">pplication </w:t>
        </w:r>
        <w:r w:rsidRPr="00702D22">
          <w:rPr>
            <w:rStyle w:val="Hyperlink"/>
          </w:rPr>
          <w:lastRenderedPageBreak/>
          <w:t>F</w:t>
        </w:r>
        <w:r w:rsidRPr="00046600">
          <w:rPr>
            <w:rStyle w:val="Hyperlink"/>
          </w:rPr>
          <w:t>orms</w:t>
        </w:r>
      </w:hyperlink>
      <w:r w:rsidRPr="00046600">
        <w:t xml:space="preserve">, these </w:t>
      </w:r>
      <w:r>
        <w:t xml:space="preserve">students </w:t>
      </w:r>
      <w:r w:rsidRPr="00046600">
        <w:t xml:space="preserve">are referred to as </w:t>
      </w:r>
      <w:r>
        <w:t>‘</w:t>
      </w:r>
      <w:r w:rsidRPr="00046600">
        <w:t>Standard students</w:t>
      </w:r>
      <w:r>
        <w:t>’</w:t>
      </w:r>
      <w:r w:rsidRPr="00046600">
        <w:t xml:space="preserve"> (if applying to enrol for greater than 12 months) or </w:t>
      </w:r>
      <w:r>
        <w:t>‘</w:t>
      </w:r>
      <w:r w:rsidRPr="00046600">
        <w:t>Study abroad students</w:t>
      </w:r>
      <w:r>
        <w:t>’</w:t>
      </w:r>
      <w:r w:rsidRPr="00046600">
        <w:t xml:space="preserve"> (if applying to enrol for 12 months or less</w:t>
      </w:r>
      <w:r>
        <w:t>)</w:t>
      </w:r>
    </w:p>
    <w:p w14:paraId="114CB5D2" w14:textId="7019586B" w:rsidR="002F05A8" w:rsidRDefault="002F05A8" w:rsidP="00810C35">
      <w:pPr>
        <w:pStyle w:val="ListBullet"/>
      </w:pPr>
      <w:r w:rsidRPr="002F05A8">
        <w:rPr>
          <w:b/>
        </w:rPr>
        <w:t>IELTS</w:t>
      </w:r>
      <w:r w:rsidRPr="002F05A8">
        <w:t xml:space="preserve"> – International English Language Testing System</w:t>
      </w:r>
    </w:p>
    <w:p w14:paraId="3565DBD9" w14:textId="1D2E8C56" w:rsidR="0012735F" w:rsidRPr="002F05A8" w:rsidRDefault="0012735F" w:rsidP="00810C35">
      <w:pPr>
        <w:pStyle w:val="ListBullet"/>
      </w:pPr>
      <w:r>
        <w:rPr>
          <w:b/>
        </w:rPr>
        <w:t xml:space="preserve">ISP </w:t>
      </w:r>
      <w:r>
        <w:t>– International Student Program</w:t>
      </w:r>
    </w:p>
    <w:p w14:paraId="3D6F4AB8" w14:textId="1761F217" w:rsidR="00612D8B" w:rsidRDefault="00612D8B" w:rsidP="00612D8B">
      <w:pPr>
        <w:pStyle w:val="ListBullet"/>
      </w:pPr>
      <w:r>
        <w:rPr>
          <w:b/>
        </w:rPr>
        <w:t>ISP staff</w:t>
      </w:r>
      <w:r w:rsidRPr="00D01AE9">
        <w:rPr>
          <w:b/>
        </w:rPr>
        <w:t xml:space="preserve"> </w:t>
      </w:r>
      <w:r w:rsidRPr="00D01AE9">
        <w:t xml:space="preserve">includes the Executive Officers, managers and employees (full time, part time, ongoing, fixed term, casual and </w:t>
      </w:r>
      <w:r w:rsidRPr="00EA7D77">
        <w:t>contractor</w:t>
      </w:r>
      <w:r w:rsidRPr="00D01AE9">
        <w:t>) of DE who work directly or indirectly with the ISP.</w:t>
      </w:r>
      <w:r>
        <w:t xml:space="preserve"> This excludes staff of ISP-accredited schools</w:t>
      </w:r>
    </w:p>
    <w:p w14:paraId="29D08F32" w14:textId="23912184" w:rsidR="00612D8B" w:rsidRDefault="00612D8B" w:rsidP="00612D8B">
      <w:pPr>
        <w:pStyle w:val="ListBullet"/>
      </w:pPr>
      <w:r w:rsidRPr="007E2369">
        <w:rPr>
          <w:b/>
        </w:rPr>
        <w:t>Letter of Offer</w:t>
      </w:r>
      <w:r>
        <w:t xml:space="preserve"> is the</w:t>
      </w:r>
      <w:r w:rsidRPr="007E2369">
        <w:t xml:space="preserve"> document sent to the applicant (via agent if applicable) which includes the Written Agreement</w:t>
      </w:r>
      <w:r>
        <w:t>, enrolment details</w:t>
      </w:r>
      <w:r w:rsidRPr="007E2369">
        <w:t>, the accommodation and welfare option applicable, tuition fees, and instruct</w:t>
      </w:r>
      <w:r>
        <w:t>ions on how to accept the offer</w:t>
      </w:r>
    </w:p>
    <w:p w14:paraId="324B76B9" w14:textId="5E47F270" w:rsidR="00612D8B" w:rsidRPr="00FB7902" w:rsidRDefault="00612D8B" w:rsidP="00612D8B">
      <w:pPr>
        <w:pStyle w:val="ListBullet"/>
      </w:pPr>
      <w:r w:rsidRPr="007E2369">
        <w:rPr>
          <w:b/>
        </w:rPr>
        <w:t xml:space="preserve">School </w:t>
      </w:r>
      <w:r>
        <w:rPr>
          <w:b/>
        </w:rPr>
        <w:t>s</w:t>
      </w:r>
      <w:r w:rsidRPr="007E2369">
        <w:rPr>
          <w:b/>
        </w:rPr>
        <w:t>taff</w:t>
      </w:r>
      <w:r>
        <w:t xml:space="preserve"> are employees of schools, for example – International Student Coordinator, Homestay Coordinator, Head of Department, </w:t>
      </w:r>
      <w:r w:rsidR="00B5196E">
        <w:t>d</w:t>
      </w:r>
      <w:r>
        <w:t xml:space="preserve">eputy </w:t>
      </w:r>
      <w:r w:rsidR="00B5196E">
        <w:t>p</w:t>
      </w:r>
      <w:r>
        <w:t xml:space="preserve">rincipal, and </w:t>
      </w:r>
      <w:r w:rsidR="00B5196E">
        <w:t>p</w:t>
      </w:r>
      <w:r>
        <w:t>rincipal</w:t>
      </w:r>
    </w:p>
    <w:p w14:paraId="3D02E261" w14:textId="092CAE8C" w:rsidR="002F05A8" w:rsidRDefault="002F05A8" w:rsidP="00810C35">
      <w:pPr>
        <w:pStyle w:val="ListBullet"/>
      </w:pPr>
      <w:r w:rsidRPr="002F05A8">
        <w:rPr>
          <w:b/>
        </w:rPr>
        <w:t>TOEFL</w:t>
      </w:r>
      <w:r w:rsidRPr="002F05A8">
        <w:t xml:space="preserve"> </w:t>
      </w:r>
      <w:r>
        <w:t>– Test of English as a Foreign Language</w:t>
      </w:r>
    </w:p>
    <w:p w14:paraId="3EDFED49" w14:textId="60DAA8F9" w:rsidR="00612D8B" w:rsidRDefault="00612D8B" w:rsidP="00612D8B">
      <w:pPr>
        <w:pStyle w:val="ListBullet"/>
      </w:pPr>
      <w:r w:rsidRPr="007E2369">
        <w:rPr>
          <w:b/>
        </w:rPr>
        <w:t>Written Agreement</w:t>
      </w:r>
      <w:r>
        <w:t xml:space="preserve"> is an agreement with the international student or intending international student and their </w:t>
      </w:r>
      <w:r w:rsidRPr="00214081">
        <w:t>parent</w:t>
      </w:r>
      <w:r>
        <w:t xml:space="preserve">, which includes Standard Terms and Conditions; signed by the international student </w:t>
      </w:r>
      <w:r w:rsidR="009D1073">
        <w:t>(if 18 years old</w:t>
      </w:r>
      <w:r w:rsidRPr="00214081">
        <w:t xml:space="preserve"> or </w:t>
      </w:r>
      <w:r w:rsidR="009D1073">
        <w:t xml:space="preserve">older) </w:t>
      </w:r>
      <w:r>
        <w:t xml:space="preserve">as well as </w:t>
      </w:r>
      <w:r w:rsidR="009D1073">
        <w:t xml:space="preserve">their </w:t>
      </w:r>
      <w:r w:rsidRPr="00214081">
        <w:t>parent</w:t>
      </w:r>
      <w:r>
        <w:t xml:space="preserve">. The Written Agreement cannot be signed or accepted on behalf of the student or their </w:t>
      </w:r>
      <w:r w:rsidRPr="00214081">
        <w:t>parent</w:t>
      </w:r>
      <w:r>
        <w:t xml:space="preserve"> by an Agent</w:t>
      </w:r>
      <w:r w:rsidR="00B9259E">
        <w:t>.</w:t>
      </w:r>
    </w:p>
    <w:p w14:paraId="1C2BC6A6" w14:textId="2128F510" w:rsidR="00C4141B" w:rsidRDefault="009A20EC" w:rsidP="00F17C14">
      <w:pPr>
        <w:pStyle w:val="Heading2"/>
        <w:spacing w:before="120"/>
      </w:pPr>
      <w:r>
        <w:t>Policy</w:t>
      </w:r>
      <w:r w:rsidR="00B045C5">
        <w:t xml:space="preserve"> c</w:t>
      </w:r>
      <w:r>
        <w:t>ontac</w:t>
      </w:r>
      <w:r w:rsidR="00B045C5">
        <w:t>t</w:t>
      </w:r>
    </w:p>
    <w:p w14:paraId="67F32DDC" w14:textId="2B8DAE61" w:rsidR="00C4141B" w:rsidRPr="00C4141B" w:rsidRDefault="00C4141B" w:rsidP="008D08EA">
      <w:pPr>
        <w:pStyle w:val="BodyText"/>
      </w:pPr>
      <w:r>
        <w:t xml:space="preserve">For further information, please contact the DE (IED) Admissions </w:t>
      </w:r>
      <w:r w:rsidR="00D616A3">
        <w:t xml:space="preserve">and Agents </w:t>
      </w:r>
      <w:r w:rsidR="00B5196E">
        <w:t xml:space="preserve">Unit </w:t>
      </w:r>
      <w:r>
        <w:t xml:space="preserve">on + 61 </w:t>
      </w:r>
      <w:r w:rsidRPr="002F05A8">
        <w:t>3 7022 1000</w:t>
      </w:r>
      <w:r>
        <w:t>.</w:t>
      </w:r>
    </w:p>
    <w:p w14:paraId="7BEB73D8" w14:textId="187E1E09" w:rsidR="009A20EC" w:rsidRDefault="00C4141B" w:rsidP="00F17C14">
      <w:pPr>
        <w:pStyle w:val="Heading2"/>
        <w:spacing w:before="120"/>
      </w:pPr>
      <w:r>
        <w:t xml:space="preserve">Policy </w:t>
      </w:r>
      <w:r w:rsidR="00B045C5">
        <w:t>m</w:t>
      </w:r>
      <w:r w:rsidR="009A20EC">
        <w:t xml:space="preserve">aintenance </w:t>
      </w:r>
      <w:r w:rsidR="00B045C5">
        <w:t>o</w:t>
      </w:r>
      <w:r w:rsidR="009A20EC">
        <w:t>fficer</w:t>
      </w:r>
    </w:p>
    <w:p w14:paraId="39E21801" w14:textId="520559DB" w:rsidR="00AC0216" w:rsidRDefault="00D616A3" w:rsidP="002F05A8">
      <w:pPr>
        <w:pStyle w:val="TableText"/>
        <w:rPr>
          <w:szCs w:val="18"/>
        </w:rPr>
      </w:pPr>
      <w:r>
        <w:rPr>
          <w:szCs w:val="18"/>
        </w:rPr>
        <w:t>Manager, Admissions and Agents</w:t>
      </w:r>
    </w:p>
    <w:p w14:paraId="12C82646" w14:textId="6A78DDCE" w:rsidR="002F05A8" w:rsidRPr="002F05A8" w:rsidRDefault="002F05A8" w:rsidP="002F05A8">
      <w:pPr>
        <w:pStyle w:val="TableText"/>
        <w:rPr>
          <w:szCs w:val="18"/>
        </w:rPr>
      </w:pPr>
      <w:r w:rsidRPr="002F05A8">
        <w:rPr>
          <w:szCs w:val="18"/>
        </w:rPr>
        <w:t>International Education Division</w:t>
      </w:r>
    </w:p>
    <w:p w14:paraId="23710833" w14:textId="756788BD" w:rsidR="002F05A8" w:rsidRPr="002F05A8" w:rsidRDefault="002F05A8" w:rsidP="002F05A8">
      <w:pPr>
        <w:pStyle w:val="TableText"/>
        <w:rPr>
          <w:szCs w:val="18"/>
        </w:rPr>
      </w:pPr>
      <w:r w:rsidRPr="002F05A8">
        <w:rPr>
          <w:szCs w:val="18"/>
        </w:rPr>
        <w:t>Depar</w:t>
      </w:r>
      <w:r w:rsidR="00330478">
        <w:rPr>
          <w:szCs w:val="18"/>
        </w:rPr>
        <w:t xml:space="preserve">tment of Education </w:t>
      </w:r>
    </w:p>
    <w:p w14:paraId="671362FB" w14:textId="77777777" w:rsidR="00BD0E83" w:rsidRDefault="00BD0E83" w:rsidP="00BD0E83">
      <w:pPr>
        <w:pStyle w:val="Authorisationtext"/>
        <w:shd w:val="clear" w:color="auto" w:fill="auto"/>
      </w:pPr>
      <w:r>
        <w:t>Level 28, 80 Collins Street, Melbourne, Victoria 3000</w:t>
      </w:r>
    </w:p>
    <w:p w14:paraId="36F14379" w14:textId="3254FBE7" w:rsidR="002F05A8" w:rsidRPr="002F05A8" w:rsidRDefault="002F05A8" w:rsidP="002F05A8">
      <w:pPr>
        <w:pStyle w:val="TableText"/>
        <w:rPr>
          <w:szCs w:val="18"/>
        </w:rPr>
      </w:pPr>
      <w:r w:rsidRPr="002F05A8">
        <w:rPr>
          <w:szCs w:val="18"/>
        </w:rPr>
        <w:t xml:space="preserve">Email: </w:t>
      </w:r>
      <w:hyperlink r:id="rId43" w:history="1">
        <w:r w:rsidRPr="004C7A0C">
          <w:rPr>
            <w:rStyle w:val="Hyperlink"/>
            <w:szCs w:val="18"/>
          </w:rPr>
          <w:t>international@edu</w:t>
        </w:r>
        <w:r w:rsidR="00D616A3" w:rsidRPr="004C7A0C">
          <w:rPr>
            <w:rStyle w:val="Hyperlink"/>
            <w:szCs w:val="18"/>
          </w:rPr>
          <w:t>cation</w:t>
        </w:r>
        <w:r w:rsidRPr="004C7A0C">
          <w:rPr>
            <w:rStyle w:val="Hyperlink"/>
            <w:szCs w:val="18"/>
          </w:rPr>
          <w:t>.vic.gov.au</w:t>
        </w:r>
      </w:hyperlink>
      <w:r w:rsidR="004C7A0C">
        <w:rPr>
          <w:szCs w:val="18"/>
        </w:rPr>
        <w:t xml:space="preserve">  </w:t>
      </w:r>
      <w:r w:rsidRPr="002F05A8">
        <w:rPr>
          <w:szCs w:val="18"/>
        </w:rPr>
        <w:t xml:space="preserve"> </w:t>
      </w:r>
    </w:p>
    <w:p w14:paraId="60B64F46" w14:textId="0C6BC399" w:rsidR="009A20EC" w:rsidRDefault="002F05A8" w:rsidP="002F05A8">
      <w:pPr>
        <w:pStyle w:val="TableText"/>
      </w:pPr>
      <w:r w:rsidRPr="002F05A8">
        <w:rPr>
          <w:szCs w:val="18"/>
        </w:rPr>
        <w:t xml:space="preserve">Phone: </w:t>
      </w:r>
      <w:r w:rsidR="0026579C">
        <w:rPr>
          <w:szCs w:val="18"/>
        </w:rPr>
        <w:t xml:space="preserve">+ 61 </w:t>
      </w:r>
      <w:r w:rsidRPr="002F05A8">
        <w:rPr>
          <w:szCs w:val="18"/>
        </w:rPr>
        <w:t>3 7022 1000</w:t>
      </w:r>
    </w:p>
    <w:p w14:paraId="4D0C13DC" w14:textId="77777777" w:rsidR="009A20EC" w:rsidRDefault="009A20EC" w:rsidP="00F17C14">
      <w:pPr>
        <w:pStyle w:val="Heading2"/>
        <w:shd w:val="clear" w:color="auto" w:fill="F2F2F2" w:themeFill="background1" w:themeFillShade="F2"/>
        <w:spacing w:before="120"/>
      </w:pPr>
      <w:r>
        <w:t>Authorised</w:t>
      </w:r>
    </w:p>
    <w:p w14:paraId="187670E8" w14:textId="0150A27D" w:rsidR="009A20EC" w:rsidRPr="00AD2439" w:rsidRDefault="009A20EC" w:rsidP="008D08EA">
      <w:pPr>
        <w:pStyle w:val="Authorisationtext"/>
      </w:pPr>
      <w:r w:rsidRPr="00AD2439">
        <w:t>Executive Director, International Education Division</w:t>
      </w:r>
    </w:p>
    <w:p w14:paraId="3C1396E9" w14:textId="77777777" w:rsidR="000942B0" w:rsidRPr="00AD2439" w:rsidRDefault="000942B0" w:rsidP="008D08EA">
      <w:pPr>
        <w:pStyle w:val="Authorisationtext"/>
      </w:pPr>
    </w:p>
    <w:p w14:paraId="56912CC1" w14:textId="619E3F82" w:rsidR="009A20EC" w:rsidRDefault="009A20EC" w:rsidP="008D08EA">
      <w:pPr>
        <w:pStyle w:val="Authorisationtext"/>
      </w:pPr>
      <w:r w:rsidRPr="005E1D13">
        <w:rPr>
          <w:b/>
        </w:rPr>
        <w:t>Date of authorisation</w:t>
      </w:r>
      <w:r w:rsidRPr="007D3D3D">
        <w:t>:</w:t>
      </w:r>
      <w:r w:rsidRPr="007D3D3D">
        <w:tab/>
      </w:r>
      <w:r w:rsidR="00044151">
        <w:t>0</w:t>
      </w:r>
      <w:r w:rsidR="005A76F9">
        <w:t>8</w:t>
      </w:r>
      <w:r w:rsidRPr="007D3D3D">
        <w:t>/</w:t>
      </w:r>
      <w:r w:rsidR="00044151">
        <w:t>12</w:t>
      </w:r>
      <w:r w:rsidRPr="007D3D3D">
        <w:t>/20</w:t>
      </w:r>
      <w:r w:rsidR="00D616A3">
        <w:t>21</w:t>
      </w:r>
    </w:p>
    <w:p w14:paraId="0068F082" w14:textId="5E9034E9" w:rsidR="00522DC5" w:rsidRPr="00AD2439" w:rsidRDefault="00522DC5" w:rsidP="008D08EA">
      <w:pPr>
        <w:pStyle w:val="Authorisationtext"/>
      </w:pPr>
      <w:r w:rsidRPr="00B02876">
        <w:rPr>
          <w:b/>
          <w:bCs/>
        </w:rPr>
        <w:t>Date last reviewed:</w:t>
      </w:r>
      <w:r>
        <w:tab/>
      </w:r>
      <w:proofErr w:type="gramStart"/>
      <w:r w:rsidR="006834B6" w:rsidRPr="006834B6">
        <w:t>21</w:t>
      </w:r>
      <w:r w:rsidRPr="006834B6">
        <w:t>/</w:t>
      </w:r>
      <w:r w:rsidR="006834B6" w:rsidRPr="006834B6">
        <w:t>02</w:t>
      </w:r>
      <w:r w:rsidRPr="006834B6">
        <w:t>/2024</w:t>
      </w:r>
      <w:proofErr w:type="gramEnd"/>
    </w:p>
    <w:p w14:paraId="1A6EC63A" w14:textId="176DC933" w:rsidR="009A20EC" w:rsidRPr="00AD2439" w:rsidRDefault="009A20EC" w:rsidP="008D08EA">
      <w:pPr>
        <w:pStyle w:val="Authorisationtext"/>
      </w:pPr>
      <w:r w:rsidRPr="000942B0">
        <w:rPr>
          <w:b/>
        </w:rPr>
        <w:t>Review frequency</w:t>
      </w:r>
      <w:r w:rsidRPr="00AD2439">
        <w:t xml:space="preserve">: </w:t>
      </w:r>
      <w:r w:rsidRPr="00AD2439">
        <w:tab/>
        <w:t xml:space="preserve">This policy will be reviewed at minimum </w:t>
      </w:r>
      <w:r w:rsidR="00C4141B">
        <w:t xml:space="preserve">every </w:t>
      </w:r>
      <w:r w:rsidR="00D616A3">
        <w:t>24</w:t>
      </w:r>
      <w:r w:rsidR="00C4141B">
        <w:t xml:space="preserve"> months</w:t>
      </w:r>
      <w:r w:rsidR="0028666E">
        <w:t xml:space="preserve"> </w:t>
      </w:r>
      <w:r w:rsidRPr="00AD2439">
        <w:t xml:space="preserve">or when any changes arise impacting its </w:t>
      </w:r>
      <w:r w:rsidR="00D92FE5">
        <w:tab/>
      </w:r>
      <w:r w:rsidR="00D92FE5">
        <w:tab/>
      </w:r>
      <w:r w:rsidR="00D92FE5">
        <w:tab/>
      </w:r>
      <w:r w:rsidR="00D92FE5">
        <w:tab/>
      </w:r>
      <w:r w:rsidRPr="00AD2439">
        <w:t>currency, including legislative or regulation change.</w:t>
      </w:r>
    </w:p>
    <w:bookmarkEnd w:id="0"/>
    <w:bookmarkEnd w:id="1"/>
    <w:p w14:paraId="105FD200" w14:textId="77777777" w:rsidR="00F473EE" w:rsidRDefault="00F473EE" w:rsidP="008D08EA">
      <w:pPr>
        <w:pStyle w:val="BodyText"/>
      </w:pPr>
    </w:p>
    <w:sectPr w:rsidR="00F473EE" w:rsidSect="00832587">
      <w:footerReference w:type="default" r:id="rId44"/>
      <w:headerReference w:type="first" r:id="rId45"/>
      <w:footerReference w:type="first" r:id="rId46"/>
      <w:type w:val="continuous"/>
      <w:pgSz w:w="11900" w:h="16840" w:code="9"/>
      <w:pgMar w:top="720" w:right="720" w:bottom="1418" w:left="720"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6E085" w14:textId="77777777" w:rsidR="00475267" w:rsidRDefault="00475267">
      <w:pPr>
        <w:spacing w:line="240" w:lineRule="auto"/>
      </w:pPr>
      <w:r>
        <w:separator/>
      </w:r>
    </w:p>
  </w:endnote>
  <w:endnote w:type="continuationSeparator" w:id="0">
    <w:p w14:paraId="407A6E0B" w14:textId="77777777" w:rsidR="00475267" w:rsidRDefault="00475267">
      <w:pPr>
        <w:spacing w:line="240" w:lineRule="auto"/>
      </w:pPr>
      <w:r>
        <w:continuationSeparator/>
      </w:r>
    </w:p>
  </w:endnote>
  <w:endnote w:type="continuationNotice" w:id="1">
    <w:p w14:paraId="2B73667C" w14:textId="77777777" w:rsidR="00475267" w:rsidRDefault="004752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ofiaProRegular">
    <w:altName w:val="Calibri"/>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5072B" w14:textId="77777777" w:rsidR="00DA428B" w:rsidRPr="00394CF6" w:rsidRDefault="00DA428B" w:rsidP="00DA428B">
    <w:pPr>
      <w:pStyle w:val="Header"/>
      <w:rPr>
        <w:rFonts w:cs="Arial"/>
        <w:color w:val="7F7F7F" w:themeColor="text1" w:themeTint="80"/>
        <w:sz w:val="16"/>
        <w:szCs w:val="16"/>
      </w:rPr>
    </w:pPr>
  </w:p>
  <w:p w14:paraId="7E10E84A" w14:textId="77777777" w:rsidR="00DA428B" w:rsidRPr="00437D5A" w:rsidRDefault="00DA428B" w:rsidP="00DA428B">
    <w:pPr>
      <w:pStyle w:val="Footer"/>
      <w:tabs>
        <w:tab w:val="clear" w:pos="10348"/>
        <w:tab w:val="right" w:pos="10460"/>
      </w:tabs>
    </w:pPr>
    <w:r w:rsidRPr="00437D5A">
      <w:t xml:space="preserve">CRICOS </w:t>
    </w:r>
    <w:r>
      <w:t>p</w:t>
    </w:r>
    <w:r w:rsidRPr="00437D5A">
      <w:t xml:space="preserve">rovider </w:t>
    </w:r>
    <w:r>
      <w:t xml:space="preserve">name </w:t>
    </w:r>
    <w:r w:rsidRPr="00437D5A">
      <w:t xml:space="preserve">and </w:t>
    </w:r>
    <w:r>
      <w:t>c</w:t>
    </w:r>
    <w:r w:rsidRPr="00437D5A">
      <w:t>ode: Department of Education, 00861K</w:t>
    </w:r>
    <w:r w:rsidRPr="00437D5A">
      <w:tab/>
      <w:t xml:space="preserve">Page </w:t>
    </w:r>
    <w:r w:rsidRPr="00437D5A">
      <w:fldChar w:fldCharType="begin"/>
    </w:r>
    <w:r w:rsidRPr="00437D5A">
      <w:instrText xml:space="preserve"> PAGE  \* Arabic  \* MERGEFORMAT </w:instrText>
    </w:r>
    <w:r w:rsidRPr="00437D5A">
      <w:fldChar w:fldCharType="separate"/>
    </w:r>
    <w:r>
      <w:t>2</w:t>
    </w:r>
    <w:r w:rsidRPr="00437D5A">
      <w:fldChar w:fldCharType="end"/>
    </w:r>
    <w:r w:rsidRPr="00437D5A">
      <w:t xml:space="preserve"> of </w:t>
    </w:r>
    <w:r w:rsidR="006834B6">
      <w:fldChar w:fldCharType="begin"/>
    </w:r>
    <w:r w:rsidR="006834B6">
      <w:instrText xml:space="preserve"> NUMPAGES  \* Arabic  \* MERGEFORMAT </w:instrText>
    </w:r>
    <w:r w:rsidR="006834B6">
      <w:fldChar w:fldCharType="separate"/>
    </w:r>
    <w:r>
      <w:t>2</w:t>
    </w:r>
    <w:r w:rsidR="006834B6">
      <w:fldChar w:fldCharType="end"/>
    </w:r>
  </w:p>
  <w:p w14:paraId="69AC5FC2" w14:textId="422A5390" w:rsidR="00DA428B" w:rsidRPr="00437D5A" w:rsidRDefault="00DA428B" w:rsidP="00DA428B">
    <w:pPr>
      <w:pStyle w:val="Footer"/>
      <w:tabs>
        <w:tab w:val="clear" w:pos="10348"/>
        <w:tab w:val="right" w:pos="10460"/>
      </w:tabs>
    </w:pPr>
    <w:r>
      <w:t>Copyright State of Victoria 202</w:t>
    </w:r>
    <w:r w:rsidR="00522DC5">
      <w:t>4</w:t>
    </w:r>
    <w:r>
      <w:tab/>
    </w:r>
    <w:r>
      <w:tab/>
    </w:r>
    <w:r w:rsidRPr="00F801E9">
      <w:t>Version 2.</w:t>
    </w:r>
    <w:r w:rsidR="00F801E9" w:rsidRPr="006834B6">
      <w:t>5</w:t>
    </w:r>
    <w:r w:rsidR="009973FB" w:rsidRPr="00F801E9">
      <w:t xml:space="preserve"> </w:t>
    </w:r>
    <w:r w:rsidR="00236FCD" w:rsidRPr="00F801E9">
      <w:t xml:space="preserve">as of </w:t>
    </w:r>
    <w:r w:rsidR="00F801E9" w:rsidRPr="006834B6">
      <w:t>21 February</w:t>
    </w:r>
    <w:r w:rsidR="009973FB" w:rsidRPr="00F801E9">
      <w:t xml:space="preserve"> </w:t>
    </w:r>
    <w:r w:rsidR="00236FCD" w:rsidRPr="00F801E9">
      <w:t>202</w:t>
    </w:r>
    <w:r w:rsidR="00522DC5" w:rsidRPr="00F801E9">
      <w:t>4</w:t>
    </w:r>
  </w:p>
  <w:p w14:paraId="2FEAF2F8" w14:textId="77777777" w:rsidR="001B197A" w:rsidRPr="00394CF6" w:rsidRDefault="001B197A" w:rsidP="001B197A">
    <w:pPr>
      <w:pStyle w:val="Header"/>
      <w:rPr>
        <w:rFonts w:cs="Arial"/>
        <w:color w:val="7F7F7F" w:themeColor="text1" w:themeTint="80"/>
        <w:sz w:val="16"/>
        <w:szCs w:val="16"/>
      </w:rPr>
    </w:pPr>
  </w:p>
  <w:p w14:paraId="22592D8C" w14:textId="77777777" w:rsidR="00307EAB" w:rsidRPr="00394CF6" w:rsidRDefault="00307EAB" w:rsidP="00394CF6">
    <w:pPr>
      <w:pStyle w:val="Header"/>
      <w:rPr>
        <w:rFonts w:cs="Arial"/>
        <w:color w:val="7F7F7F" w:themeColor="text1" w:themeTint="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D974" w14:textId="4D92A15C" w:rsidR="00C70701" w:rsidRDefault="00832587">
    <w:r>
      <w:rPr>
        <w:noProof/>
      </w:rPr>
      <w:drawing>
        <wp:inline distT="0" distB="0" distL="0" distR="0" wp14:anchorId="0D451F71" wp14:editId="2FD3DD70">
          <wp:extent cx="6624687" cy="78803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stretch>
                    <a:fillRect/>
                  </a:stretch>
                </pic:blipFill>
                <pic:spPr bwMode="auto">
                  <a:xfrm>
                    <a:off x="0" y="0"/>
                    <a:ext cx="6624687" cy="7880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4BF59" w14:textId="77777777" w:rsidR="00475267" w:rsidRDefault="00475267">
      <w:pPr>
        <w:spacing w:line="240" w:lineRule="auto"/>
      </w:pPr>
      <w:r>
        <w:separator/>
      </w:r>
    </w:p>
  </w:footnote>
  <w:footnote w:type="continuationSeparator" w:id="0">
    <w:p w14:paraId="711CAC54" w14:textId="77777777" w:rsidR="00475267" w:rsidRDefault="00475267">
      <w:pPr>
        <w:spacing w:line="240" w:lineRule="auto"/>
      </w:pPr>
      <w:r>
        <w:continuationSeparator/>
      </w:r>
    </w:p>
  </w:footnote>
  <w:footnote w:type="continuationNotice" w:id="1">
    <w:p w14:paraId="0E147025" w14:textId="77777777" w:rsidR="00475267" w:rsidRDefault="004752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5E43" w14:textId="77777777" w:rsidR="00307EAB" w:rsidRPr="00B367E9" w:rsidRDefault="00307EAB" w:rsidP="006E06A7">
    <w:pPr>
      <w:pStyle w:val="Header"/>
    </w:pPr>
    <w:r>
      <w:rPr>
        <w:noProof/>
        <w:lang w:eastAsia="zh-CN"/>
      </w:rPr>
      <w:drawing>
        <wp:anchor distT="0" distB="0" distL="114300" distR="114300" simplePos="0" relativeHeight="251658240" behindDoc="0" locked="0" layoutInCell="1" allowOverlap="1" wp14:anchorId="6D6E6363" wp14:editId="731CF45E">
          <wp:simplePos x="0" y="0"/>
          <wp:positionH relativeFrom="page">
            <wp:align>left</wp:align>
          </wp:positionH>
          <wp:positionV relativeFrom="paragraph">
            <wp:posOffset>-360153</wp:posOffset>
          </wp:positionV>
          <wp:extent cx="7664654" cy="1393293"/>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P Header - evidence.png"/>
                  <pic:cNvPicPr/>
                </pic:nvPicPr>
                <pic:blipFill>
                  <a:blip r:embed="rId1">
                    <a:extLst>
                      <a:ext uri="{28A0092B-C50C-407E-A947-70E740481C1C}">
                        <a14:useLocalDpi xmlns:a14="http://schemas.microsoft.com/office/drawing/2010/main" val="0"/>
                      </a:ext>
                    </a:extLst>
                  </a:blip>
                  <a:stretch>
                    <a:fillRect/>
                  </a:stretch>
                </pic:blipFill>
                <pic:spPr>
                  <a:xfrm>
                    <a:off x="0" y="0"/>
                    <a:ext cx="7664654" cy="13932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1327777F"/>
    <w:multiLevelType w:val="multilevel"/>
    <w:tmpl w:val="AC70F576"/>
    <w:styleLink w:val="BulletList"/>
    <w:lvl w:ilvl="0">
      <w:start w:val="1"/>
      <w:numFmt w:val="bullet"/>
      <w:lvlText w:val=""/>
      <w:lvlJc w:val="left"/>
      <w:pPr>
        <w:tabs>
          <w:tab w:val="num" w:pos="340"/>
        </w:tabs>
        <w:ind w:left="340" w:hanging="340"/>
      </w:pPr>
      <w:rPr>
        <w:rFonts w:ascii="Symbol" w:hAnsi="Symbol"/>
        <w:color w:val="000000" w:themeColor="text1"/>
        <w:u w:color="000000" w:themeColor="text1"/>
      </w:rPr>
    </w:lvl>
    <w:lvl w:ilvl="1">
      <w:start w:val="1"/>
      <w:numFmt w:val="bullet"/>
      <w:lvlText w:val=""/>
      <w:lvlJc w:val="left"/>
      <w:pPr>
        <w:tabs>
          <w:tab w:val="num" w:pos="680"/>
        </w:tabs>
        <w:ind w:left="680" w:hanging="340"/>
      </w:pPr>
      <w:rPr>
        <w:rFonts w:ascii="Symbol" w:hAnsi="Symbol" w:hint="default"/>
        <w:color w:val="000000" w:themeColor="text1"/>
      </w:rPr>
    </w:lvl>
    <w:lvl w:ilvl="2">
      <w:start w:val="1"/>
      <w:numFmt w:val="bullet"/>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6" w15:restartNumberingAfterBreak="0">
    <w:nsid w:val="25E33932"/>
    <w:multiLevelType w:val="multilevel"/>
    <w:tmpl w:val="7930B82A"/>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7"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276918FB"/>
    <w:multiLevelType w:val="hybridMultilevel"/>
    <w:tmpl w:val="2E12D90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A3A39D3"/>
    <w:multiLevelType w:val="singleLevel"/>
    <w:tmpl w:val="6E8C83F2"/>
    <w:lvl w:ilvl="0">
      <w:start w:val="1"/>
      <w:numFmt w:val="bullet"/>
      <w:lvlText w:val=""/>
      <w:lvlJc w:val="left"/>
      <w:pPr>
        <w:tabs>
          <w:tab w:val="num" w:pos="340"/>
        </w:tabs>
        <w:ind w:left="340" w:hanging="340"/>
      </w:pPr>
      <w:rPr>
        <w:rFonts w:ascii="Symbol" w:hAnsi="Symbol" w:hint="default"/>
        <w:color w:val="auto"/>
        <w:sz w:val="22"/>
      </w:rPr>
    </w:lvl>
  </w:abstractNum>
  <w:abstractNum w:abstractNumId="10"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37DC4314"/>
    <w:multiLevelType w:val="multilevel"/>
    <w:tmpl w:val="2C38BA9C"/>
    <w:numStyleLink w:val="BASTCoPList"/>
  </w:abstractNum>
  <w:abstractNum w:abstractNumId="12"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3" w15:restartNumberingAfterBreak="0">
    <w:nsid w:val="41132E78"/>
    <w:multiLevelType w:val="hybridMultilevel"/>
    <w:tmpl w:val="8AD2FEC2"/>
    <w:lvl w:ilvl="0" w:tplc="D83C0A0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CC3EEC"/>
    <w:multiLevelType w:val="multilevel"/>
    <w:tmpl w:val="3EF8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625F0A"/>
    <w:multiLevelType w:val="multilevel"/>
    <w:tmpl w:val="A0A0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6416B3"/>
    <w:multiLevelType w:val="hybridMultilevel"/>
    <w:tmpl w:val="47748754"/>
    <w:lvl w:ilvl="0" w:tplc="FE849B2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B45E22"/>
    <w:multiLevelType w:val="hybridMultilevel"/>
    <w:tmpl w:val="E62E1DCA"/>
    <w:lvl w:ilvl="0" w:tplc="301AE5F8">
      <w:start w:val="1"/>
      <w:numFmt w:val="bullet"/>
      <w:pStyle w:val="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B27D49"/>
    <w:multiLevelType w:val="hybridMultilevel"/>
    <w:tmpl w:val="7A92C1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A6B625F"/>
    <w:multiLevelType w:val="hybridMultilevel"/>
    <w:tmpl w:val="5F0A9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CC3050"/>
    <w:multiLevelType w:val="hybridMultilevel"/>
    <w:tmpl w:val="C6842DC4"/>
    <w:lvl w:ilvl="0" w:tplc="206889BC">
      <w:start w:val="1"/>
      <w:numFmt w:val="bullet"/>
      <w:pStyle w:val="ListBullet2"/>
      <w:lvlText w:val=""/>
      <w:lvlJc w:val="left"/>
      <w:pPr>
        <w:ind w:left="720" w:hanging="360"/>
      </w:pPr>
      <w:rPr>
        <w:rFonts w:ascii="Symbol" w:hAnsi="Symbol" w:hint="default"/>
      </w:rPr>
    </w:lvl>
    <w:lvl w:ilvl="1" w:tplc="E0A48438">
      <w:start w:val="1"/>
      <w:numFmt w:val="bullet"/>
      <w:lvlText w:val=""/>
      <w:lvlJc w:val="left"/>
      <w:pPr>
        <w:ind w:left="1440" w:hanging="360"/>
      </w:pPr>
      <w:rPr>
        <w:rFonts w:ascii="Symbol" w:hAnsi="Symbol" w:hint="default"/>
        <w:sz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39409A"/>
    <w:multiLevelType w:val="multilevel"/>
    <w:tmpl w:val="AC70F576"/>
    <w:lvl w:ilvl="0">
      <w:start w:val="1"/>
      <w:numFmt w:val="bullet"/>
      <w:lvlText w:val=""/>
      <w:lvlJc w:val="left"/>
      <w:pPr>
        <w:tabs>
          <w:tab w:val="num" w:pos="340"/>
        </w:tabs>
        <w:ind w:left="340" w:hanging="340"/>
      </w:pPr>
      <w:rPr>
        <w:rFonts w:ascii="Symbol" w:hAnsi="Symbol"/>
        <w:color w:val="000000" w:themeColor="text1"/>
        <w:u w:color="000000" w:themeColor="text1"/>
      </w:rPr>
    </w:lvl>
    <w:lvl w:ilvl="1">
      <w:start w:val="1"/>
      <w:numFmt w:val="bullet"/>
      <w:lvlText w:val=""/>
      <w:lvlJc w:val="left"/>
      <w:pPr>
        <w:tabs>
          <w:tab w:val="num" w:pos="680"/>
        </w:tabs>
        <w:ind w:left="680" w:hanging="340"/>
      </w:pPr>
      <w:rPr>
        <w:rFonts w:ascii="Symbol" w:hAnsi="Symbol" w:hint="default"/>
        <w:color w:val="000000" w:themeColor="text1"/>
      </w:rPr>
    </w:lvl>
    <w:lvl w:ilvl="2">
      <w:start w:val="1"/>
      <w:numFmt w:val="bullet"/>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num w:numId="1" w16cid:durableId="1676489908">
    <w:abstractNumId w:val="3"/>
  </w:num>
  <w:num w:numId="2" w16cid:durableId="266620762">
    <w:abstractNumId w:val="2"/>
  </w:num>
  <w:num w:numId="3" w16cid:durableId="1641156748">
    <w:abstractNumId w:val="1"/>
  </w:num>
  <w:num w:numId="4" w16cid:durableId="900022881">
    <w:abstractNumId w:val="0"/>
  </w:num>
  <w:num w:numId="5" w16cid:durableId="2094623185">
    <w:abstractNumId w:val="5"/>
  </w:num>
  <w:num w:numId="6" w16cid:durableId="231504793">
    <w:abstractNumId w:val="4"/>
  </w:num>
  <w:num w:numId="7" w16cid:durableId="1358117602">
    <w:abstractNumId w:val="7"/>
  </w:num>
  <w:num w:numId="8" w16cid:durableId="279924558">
    <w:abstractNumId w:val="10"/>
  </w:num>
  <w:num w:numId="9" w16cid:durableId="360474309">
    <w:abstractNumId w:val="11"/>
  </w:num>
  <w:num w:numId="10" w16cid:durableId="33891972">
    <w:abstractNumId w:val="21"/>
  </w:num>
  <w:num w:numId="11" w16cid:durableId="814882478">
    <w:abstractNumId w:val="6"/>
  </w:num>
  <w:num w:numId="12" w16cid:durableId="1150708814">
    <w:abstractNumId w:val="12"/>
  </w:num>
  <w:num w:numId="13" w16cid:durableId="1721125948">
    <w:abstractNumId w:val="13"/>
  </w:num>
  <w:num w:numId="14" w16cid:durableId="2035495029">
    <w:abstractNumId w:val="9"/>
  </w:num>
  <w:num w:numId="15" w16cid:durableId="1148478908">
    <w:abstractNumId w:val="8"/>
  </w:num>
  <w:num w:numId="16" w16cid:durableId="1282763866">
    <w:abstractNumId w:val="16"/>
  </w:num>
  <w:num w:numId="17" w16cid:durableId="1530297745">
    <w:abstractNumId w:val="19"/>
  </w:num>
  <w:num w:numId="18" w16cid:durableId="596600870">
    <w:abstractNumId w:val="21"/>
  </w:num>
  <w:num w:numId="19" w16cid:durableId="485706506">
    <w:abstractNumId w:val="21"/>
  </w:num>
  <w:num w:numId="20" w16cid:durableId="1960254604">
    <w:abstractNumId w:val="21"/>
  </w:num>
  <w:num w:numId="21" w16cid:durableId="1601447223">
    <w:abstractNumId w:val="15"/>
  </w:num>
  <w:num w:numId="22" w16cid:durableId="1094281391">
    <w:abstractNumId w:val="17"/>
  </w:num>
  <w:num w:numId="23" w16cid:durableId="487089849">
    <w:abstractNumId w:val="11"/>
  </w:num>
  <w:num w:numId="24" w16cid:durableId="325674905">
    <w:abstractNumId w:val="20"/>
  </w:num>
  <w:num w:numId="25" w16cid:durableId="649333498">
    <w:abstractNumId w:val="18"/>
  </w:num>
  <w:num w:numId="26" w16cid:durableId="180330620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2MDY2NTQyMDOxMDVW0lEKTi0uzszPAykwrAUARIgKdywAAAA="/>
    <w:docVar w:name="ShowDynamicGuides" w:val="1"/>
    <w:docVar w:name="ShowMarginGuides" w:val="0"/>
    <w:docVar w:name="ShowOutlines" w:val="0"/>
    <w:docVar w:name="ShowStaticGuides" w:val="0"/>
  </w:docVars>
  <w:rsids>
    <w:rsidRoot w:val="004323F9"/>
    <w:rsid w:val="00005D4A"/>
    <w:rsid w:val="000064B9"/>
    <w:rsid w:val="00007903"/>
    <w:rsid w:val="00014D3C"/>
    <w:rsid w:val="000160CE"/>
    <w:rsid w:val="00016FD6"/>
    <w:rsid w:val="00022BD2"/>
    <w:rsid w:val="00027634"/>
    <w:rsid w:val="00032ADB"/>
    <w:rsid w:val="00035984"/>
    <w:rsid w:val="00041775"/>
    <w:rsid w:val="00043E51"/>
    <w:rsid w:val="00044151"/>
    <w:rsid w:val="00046600"/>
    <w:rsid w:val="00046928"/>
    <w:rsid w:val="0005656E"/>
    <w:rsid w:val="00057451"/>
    <w:rsid w:val="0005754E"/>
    <w:rsid w:val="00060B1C"/>
    <w:rsid w:val="000632BD"/>
    <w:rsid w:val="00064B20"/>
    <w:rsid w:val="0006740D"/>
    <w:rsid w:val="00072E91"/>
    <w:rsid w:val="0007427E"/>
    <w:rsid w:val="00074756"/>
    <w:rsid w:val="00081C1E"/>
    <w:rsid w:val="000852D9"/>
    <w:rsid w:val="0009086D"/>
    <w:rsid w:val="00090B90"/>
    <w:rsid w:val="000938C0"/>
    <w:rsid w:val="000942B0"/>
    <w:rsid w:val="000947F3"/>
    <w:rsid w:val="00095A28"/>
    <w:rsid w:val="000A471B"/>
    <w:rsid w:val="000B0CD1"/>
    <w:rsid w:val="000B2709"/>
    <w:rsid w:val="000B27A8"/>
    <w:rsid w:val="000B5256"/>
    <w:rsid w:val="000B63D8"/>
    <w:rsid w:val="000B6C79"/>
    <w:rsid w:val="000C06E6"/>
    <w:rsid w:val="000C2E7D"/>
    <w:rsid w:val="000C3932"/>
    <w:rsid w:val="000D10CA"/>
    <w:rsid w:val="000D485E"/>
    <w:rsid w:val="000D50FB"/>
    <w:rsid w:val="000D6148"/>
    <w:rsid w:val="000D7989"/>
    <w:rsid w:val="000E44F8"/>
    <w:rsid w:val="000E5D45"/>
    <w:rsid w:val="000E6AB2"/>
    <w:rsid w:val="000E7695"/>
    <w:rsid w:val="000F0264"/>
    <w:rsid w:val="000F1556"/>
    <w:rsid w:val="000F5BDF"/>
    <w:rsid w:val="001003A4"/>
    <w:rsid w:val="00103CFF"/>
    <w:rsid w:val="0010622B"/>
    <w:rsid w:val="0011043E"/>
    <w:rsid w:val="001214B9"/>
    <w:rsid w:val="00123C6F"/>
    <w:rsid w:val="001251B9"/>
    <w:rsid w:val="00125D77"/>
    <w:rsid w:val="001263FC"/>
    <w:rsid w:val="0012684A"/>
    <w:rsid w:val="0012735F"/>
    <w:rsid w:val="00130661"/>
    <w:rsid w:val="001315AF"/>
    <w:rsid w:val="001351BE"/>
    <w:rsid w:val="001371C0"/>
    <w:rsid w:val="00137408"/>
    <w:rsid w:val="00143CA0"/>
    <w:rsid w:val="00144386"/>
    <w:rsid w:val="0014448E"/>
    <w:rsid w:val="0014588F"/>
    <w:rsid w:val="0014749C"/>
    <w:rsid w:val="00152C90"/>
    <w:rsid w:val="0015384E"/>
    <w:rsid w:val="00154803"/>
    <w:rsid w:val="001555E8"/>
    <w:rsid w:val="00155DCA"/>
    <w:rsid w:val="00157E44"/>
    <w:rsid w:val="00160255"/>
    <w:rsid w:val="00163B82"/>
    <w:rsid w:val="00165C17"/>
    <w:rsid w:val="0017035E"/>
    <w:rsid w:val="00171C1C"/>
    <w:rsid w:val="001739EA"/>
    <w:rsid w:val="00173A3D"/>
    <w:rsid w:val="00174FF7"/>
    <w:rsid w:val="00175D2F"/>
    <w:rsid w:val="00182E14"/>
    <w:rsid w:val="00182FD1"/>
    <w:rsid w:val="00184A5E"/>
    <w:rsid w:val="001871BC"/>
    <w:rsid w:val="001878AD"/>
    <w:rsid w:val="001924CF"/>
    <w:rsid w:val="00193ECE"/>
    <w:rsid w:val="001A53D7"/>
    <w:rsid w:val="001B197A"/>
    <w:rsid w:val="001B344B"/>
    <w:rsid w:val="001B380A"/>
    <w:rsid w:val="001B6CD3"/>
    <w:rsid w:val="001B769A"/>
    <w:rsid w:val="001C0949"/>
    <w:rsid w:val="001C2E30"/>
    <w:rsid w:val="001C37AC"/>
    <w:rsid w:val="001C771C"/>
    <w:rsid w:val="001D4DC1"/>
    <w:rsid w:val="001D7FA1"/>
    <w:rsid w:val="001E16A3"/>
    <w:rsid w:val="001F5FA5"/>
    <w:rsid w:val="001F6E93"/>
    <w:rsid w:val="002017B0"/>
    <w:rsid w:val="0020201E"/>
    <w:rsid w:val="00203E4B"/>
    <w:rsid w:val="0020669E"/>
    <w:rsid w:val="0021013E"/>
    <w:rsid w:val="00211924"/>
    <w:rsid w:val="002131DC"/>
    <w:rsid w:val="002137D1"/>
    <w:rsid w:val="002140ED"/>
    <w:rsid w:val="00215297"/>
    <w:rsid w:val="00221299"/>
    <w:rsid w:val="00222B2A"/>
    <w:rsid w:val="00222E9A"/>
    <w:rsid w:val="00222F3A"/>
    <w:rsid w:val="00226BE4"/>
    <w:rsid w:val="00226EC2"/>
    <w:rsid w:val="002271C7"/>
    <w:rsid w:val="00232309"/>
    <w:rsid w:val="0023430A"/>
    <w:rsid w:val="00236FCD"/>
    <w:rsid w:val="00241AF5"/>
    <w:rsid w:val="00245433"/>
    <w:rsid w:val="00247536"/>
    <w:rsid w:val="00250534"/>
    <w:rsid w:val="00250A17"/>
    <w:rsid w:val="00250A91"/>
    <w:rsid w:val="00254C31"/>
    <w:rsid w:val="0025683D"/>
    <w:rsid w:val="002576D8"/>
    <w:rsid w:val="0026001A"/>
    <w:rsid w:val="0026579C"/>
    <w:rsid w:val="00266A4D"/>
    <w:rsid w:val="002715A2"/>
    <w:rsid w:val="002743FB"/>
    <w:rsid w:val="0027508F"/>
    <w:rsid w:val="0028266F"/>
    <w:rsid w:val="0028666E"/>
    <w:rsid w:val="00287308"/>
    <w:rsid w:val="002878AA"/>
    <w:rsid w:val="0029105A"/>
    <w:rsid w:val="002952DE"/>
    <w:rsid w:val="00295A90"/>
    <w:rsid w:val="00295DC8"/>
    <w:rsid w:val="002A1651"/>
    <w:rsid w:val="002A3D1F"/>
    <w:rsid w:val="002A4120"/>
    <w:rsid w:val="002B480E"/>
    <w:rsid w:val="002B59C6"/>
    <w:rsid w:val="002B7604"/>
    <w:rsid w:val="002B785B"/>
    <w:rsid w:val="002C0634"/>
    <w:rsid w:val="002C2991"/>
    <w:rsid w:val="002C31E4"/>
    <w:rsid w:val="002C3C1B"/>
    <w:rsid w:val="002C3ED2"/>
    <w:rsid w:val="002C609D"/>
    <w:rsid w:val="002C77A8"/>
    <w:rsid w:val="002D287B"/>
    <w:rsid w:val="002D2ED8"/>
    <w:rsid w:val="002E2780"/>
    <w:rsid w:val="002F05A8"/>
    <w:rsid w:val="002F51F2"/>
    <w:rsid w:val="002F655B"/>
    <w:rsid w:val="0030150C"/>
    <w:rsid w:val="003059D5"/>
    <w:rsid w:val="00307EAB"/>
    <w:rsid w:val="0031090B"/>
    <w:rsid w:val="00315318"/>
    <w:rsid w:val="00315874"/>
    <w:rsid w:val="003202B2"/>
    <w:rsid w:val="00330478"/>
    <w:rsid w:val="00332F32"/>
    <w:rsid w:val="003377B0"/>
    <w:rsid w:val="00337CF6"/>
    <w:rsid w:val="00347930"/>
    <w:rsid w:val="00350396"/>
    <w:rsid w:val="00351A0A"/>
    <w:rsid w:val="00352378"/>
    <w:rsid w:val="00352A6B"/>
    <w:rsid w:val="00353D22"/>
    <w:rsid w:val="00354333"/>
    <w:rsid w:val="00356986"/>
    <w:rsid w:val="00371A90"/>
    <w:rsid w:val="00371C6A"/>
    <w:rsid w:val="003736BA"/>
    <w:rsid w:val="003741B6"/>
    <w:rsid w:val="00380AE8"/>
    <w:rsid w:val="0038330D"/>
    <w:rsid w:val="00387552"/>
    <w:rsid w:val="00392389"/>
    <w:rsid w:val="00394CF6"/>
    <w:rsid w:val="003A1CA9"/>
    <w:rsid w:val="003A762A"/>
    <w:rsid w:val="003A7F81"/>
    <w:rsid w:val="003B2C18"/>
    <w:rsid w:val="003B2ECC"/>
    <w:rsid w:val="003B3784"/>
    <w:rsid w:val="003B5F7F"/>
    <w:rsid w:val="003B6520"/>
    <w:rsid w:val="003B7B51"/>
    <w:rsid w:val="003C0CE6"/>
    <w:rsid w:val="003C28B6"/>
    <w:rsid w:val="003C303C"/>
    <w:rsid w:val="003C4140"/>
    <w:rsid w:val="003C4FD3"/>
    <w:rsid w:val="003C54CB"/>
    <w:rsid w:val="003C6564"/>
    <w:rsid w:val="003D2AB2"/>
    <w:rsid w:val="003D5309"/>
    <w:rsid w:val="003D7701"/>
    <w:rsid w:val="003E1B9A"/>
    <w:rsid w:val="003E33A4"/>
    <w:rsid w:val="003E7CFD"/>
    <w:rsid w:val="003F0E5A"/>
    <w:rsid w:val="003F1941"/>
    <w:rsid w:val="003F355A"/>
    <w:rsid w:val="003F3CDE"/>
    <w:rsid w:val="003F5740"/>
    <w:rsid w:val="003F6CB2"/>
    <w:rsid w:val="003F7B92"/>
    <w:rsid w:val="00400546"/>
    <w:rsid w:val="004068E7"/>
    <w:rsid w:val="00410C4D"/>
    <w:rsid w:val="00415402"/>
    <w:rsid w:val="0041707B"/>
    <w:rsid w:val="0042587E"/>
    <w:rsid w:val="00425DE9"/>
    <w:rsid w:val="004323F9"/>
    <w:rsid w:val="004365BF"/>
    <w:rsid w:val="004366A9"/>
    <w:rsid w:val="00437D5A"/>
    <w:rsid w:val="00441678"/>
    <w:rsid w:val="00441AFC"/>
    <w:rsid w:val="004463EB"/>
    <w:rsid w:val="004477F2"/>
    <w:rsid w:val="00450C7F"/>
    <w:rsid w:val="00457C76"/>
    <w:rsid w:val="00457DF2"/>
    <w:rsid w:val="004606FE"/>
    <w:rsid w:val="00462723"/>
    <w:rsid w:val="00465E19"/>
    <w:rsid w:val="00465EC0"/>
    <w:rsid w:val="004668EB"/>
    <w:rsid w:val="00475267"/>
    <w:rsid w:val="00486396"/>
    <w:rsid w:val="00487E5A"/>
    <w:rsid w:val="00494657"/>
    <w:rsid w:val="0049543C"/>
    <w:rsid w:val="004A078A"/>
    <w:rsid w:val="004A4FC6"/>
    <w:rsid w:val="004A6056"/>
    <w:rsid w:val="004B0E7A"/>
    <w:rsid w:val="004B2364"/>
    <w:rsid w:val="004B3A50"/>
    <w:rsid w:val="004B4062"/>
    <w:rsid w:val="004B46AC"/>
    <w:rsid w:val="004B4DAA"/>
    <w:rsid w:val="004C16D5"/>
    <w:rsid w:val="004C27D6"/>
    <w:rsid w:val="004C2974"/>
    <w:rsid w:val="004C3704"/>
    <w:rsid w:val="004C373C"/>
    <w:rsid w:val="004C7428"/>
    <w:rsid w:val="004C7A0C"/>
    <w:rsid w:val="004D2305"/>
    <w:rsid w:val="004D488E"/>
    <w:rsid w:val="004D520A"/>
    <w:rsid w:val="004E2857"/>
    <w:rsid w:val="004E2B73"/>
    <w:rsid w:val="004E409F"/>
    <w:rsid w:val="004E45E3"/>
    <w:rsid w:val="004E4D97"/>
    <w:rsid w:val="004E5C84"/>
    <w:rsid w:val="004E654D"/>
    <w:rsid w:val="004F149D"/>
    <w:rsid w:val="004F33E4"/>
    <w:rsid w:val="004F747C"/>
    <w:rsid w:val="004F77FB"/>
    <w:rsid w:val="0050781D"/>
    <w:rsid w:val="005107A5"/>
    <w:rsid w:val="0051159A"/>
    <w:rsid w:val="005154AD"/>
    <w:rsid w:val="00522476"/>
    <w:rsid w:val="00522BEA"/>
    <w:rsid w:val="00522DC5"/>
    <w:rsid w:val="005238C7"/>
    <w:rsid w:val="00524D17"/>
    <w:rsid w:val="00524E62"/>
    <w:rsid w:val="00525865"/>
    <w:rsid w:val="00527008"/>
    <w:rsid w:val="00531486"/>
    <w:rsid w:val="00532CD2"/>
    <w:rsid w:val="00537C5E"/>
    <w:rsid w:val="00543629"/>
    <w:rsid w:val="00546B1A"/>
    <w:rsid w:val="005471DF"/>
    <w:rsid w:val="00552CEE"/>
    <w:rsid w:val="00552D20"/>
    <w:rsid w:val="00553FD9"/>
    <w:rsid w:val="00555EC7"/>
    <w:rsid w:val="005566E9"/>
    <w:rsid w:val="0055678E"/>
    <w:rsid w:val="00556F82"/>
    <w:rsid w:val="00557377"/>
    <w:rsid w:val="00557BA5"/>
    <w:rsid w:val="0056061B"/>
    <w:rsid w:val="00561843"/>
    <w:rsid w:val="0056185C"/>
    <w:rsid w:val="00563C70"/>
    <w:rsid w:val="00567193"/>
    <w:rsid w:val="005743F1"/>
    <w:rsid w:val="005753E1"/>
    <w:rsid w:val="00576C7E"/>
    <w:rsid w:val="0058165A"/>
    <w:rsid w:val="0058380F"/>
    <w:rsid w:val="0058575B"/>
    <w:rsid w:val="0059048F"/>
    <w:rsid w:val="00593B0E"/>
    <w:rsid w:val="00594067"/>
    <w:rsid w:val="00594716"/>
    <w:rsid w:val="0059509E"/>
    <w:rsid w:val="005A2434"/>
    <w:rsid w:val="005A5D98"/>
    <w:rsid w:val="005A76F9"/>
    <w:rsid w:val="005B0F4D"/>
    <w:rsid w:val="005B1354"/>
    <w:rsid w:val="005B1AC0"/>
    <w:rsid w:val="005B5205"/>
    <w:rsid w:val="005B5E1A"/>
    <w:rsid w:val="005C01FE"/>
    <w:rsid w:val="005C05D4"/>
    <w:rsid w:val="005C0FFD"/>
    <w:rsid w:val="005C1DD5"/>
    <w:rsid w:val="005C308F"/>
    <w:rsid w:val="005C5913"/>
    <w:rsid w:val="005C789B"/>
    <w:rsid w:val="005D0726"/>
    <w:rsid w:val="005D4557"/>
    <w:rsid w:val="005D55DA"/>
    <w:rsid w:val="005D5765"/>
    <w:rsid w:val="005D5AF6"/>
    <w:rsid w:val="005E1A66"/>
    <w:rsid w:val="005E1D13"/>
    <w:rsid w:val="005E4083"/>
    <w:rsid w:val="005E471F"/>
    <w:rsid w:val="005F314C"/>
    <w:rsid w:val="005F3517"/>
    <w:rsid w:val="005F45EF"/>
    <w:rsid w:val="005F56AB"/>
    <w:rsid w:val="005F587B"/>
    <w:rsid w:val="005F7300"/>
    <w:rsid w:val="006009D0"/>
    <w:rsid w:val="00604766"/>
    <w:rsid w:val="006047EA"/>
    <w:rsid w:val="006074CA"/>
    <w:rsid w:val="00607D18"/>
    <w:rsid w:val="00612D8B"/>
    <w:rsid w:val="00613644"/>
    <w:rsid w:val="006136AD"/>
    <w:rsid w:val="0061684C"/>
    <w:rsid w:val="00621CE8"/>
    <w:rsid w:val="00622791"/>
    <w:rsid w:val="00622C9F"/>
    <w:rsid w:val="006238B0"/>
    <w:rsid w:val="00624A0C"/>
    <w:rsid w:val="00625E5E"/>
    <w:rsid w:val="006262BD"/>
    <w:rsid w:val="00627E19"/>
    <w:rsid w:val="00630DDA"/>
    <w:rsid w:val="00630F76"/>
    <w:rsid w:val="00632D04"/>
    <w:rsid w:val="00634088"/>
    <w:rsid w:val="00634F23"/>
    <w:rsid w:val="00637153"/>
    <w:rsid w:val="00644242"/>
    <w:rsid w:val="00644C3B"/>
    <w:rsid w:val="00650BBE"/>
    <w:rsid w:val="00651662"/>
    <w:rsid w:val="006528F1"/>
    <w:rsid w:val="006557AB"/>
    <w:rsid w:val="00656020"/>
    <w:rsid w:val="006575A4"/>
    <w:rsid w:val="00661E84"/>
    <w:rsid w:val="00662A86"/>
    <w:rsid w:val="00662BF5"/>
    <w:rsid w:val="006643D5"/>
    <w:rsid w:val="00671BB7"/>
    <w:rsid w:val="006834B6"/>
    <w:rsid w:val="00683CC1"/>
    <w:rsid w:val="00690A66"/>
    <w:rsid w:val="00690CB0"/>
    <w:rsid w:val="0069347A"/>
    <w:rsid w:val="00696162"/>
    <w:rsid w:val="00696E86"/>
    <w:rsid w:val="006A065B"/>
    <w:rsid w:val="006A3271"/>
    <w:rsid w:val="006A4835"/>
    <w:rsid w:val="006A5AD7"/>
    <w:rsid w:val="006A7046"/>
    <w:rsid w:val="006A74C8"/>
    <w:rsid w:val="006B300F"/>
    <w:rsid w:val="006B3ACE"/>
    <w:rsid w:val="006B5824"/>
    <w:rsid w:val="006C1D99"/>
    <w:rsid w:val="006C2632"/>
    <w:rsid w:val="006C3618"/>
    <w:rsid w:val="006C3BE0"/>
    <w:rsid w:val="006C672A"/>
    <w:rsid w:val="006D2BA4"/>
    <w:rsid w:val="006D3973"/>
    <w:rsid w:val="006E06A7"/>
    <w:rsid w:val="006E2F74"/>
    <w:rsid w:val="006E49F0"/>
    <w:rsid w:val="006E72D4"/>
    <w:rsid w:val="006F0E6D"/>
    <w:rsid w:val="006F1AB7"/>
    <w:rsid w:val="006F2212"/>
    <w:rsid w:val="006F4FFD"/>
    <w:rsid w:val="006F510D"/>
    <w:rsid w:val="006F5567"/>
    <w:rsid w:val="006F6B55"/>
    <w:rsid w:val="006F7286"/>
    <w:rsid w:val="00702D22"/>
    <w:rsid w:val="007032E9"/>
    <w:rsid w:val="00703AA5"/>
    <w:rsid w:val="0070578C"/>
    <w:rsid w:val="0070712B"/>
    <w:rsid w:val="007076FA"/>
    <w:rsid w:val="007174FC"/>
    <w:rsid w:val="007176D9"/>
    <w:rsid w:val="0072717B"/>
    <w:rsid w:val="00732AC2"/>
    <w:rsid w:val="00733A10"/>
    <w:rsid w:val="00736043"/>
    <w:rsid w:val="00740BDB"/>
    <w:rsid w:val="00741521"/>
    <w:rsid w:val="00746428"/>
    <w:rsid w:val="007479AC"/>
    <w:rsid w:val="0075003B"/>
    <w:rsid w:val="00753D80"/>
    <w:rsid w:val="0076430E"/>
    <w:rsid w:val="00765088"/>
    <w:rsid w:val="00772F42"/>
    <w:rsid w:val="007804B0"/>
    <w:rsid w:val="0078391B"/>
    <w:rsid w:val="00785033"/>
    <w:rsid w:val="00785381"/>
    <w:rsid w:val="00786C2D"/>
    <w:rsid w:val="00791183"/>
    <w:rsid w:val="007914AA"/>
    <w:rsid w:val="007920C5"/>
    <w:rsid w:val="00796555"/>
    <w:rsid w:val="007A1620"/>
    <w:rsid w:val="007A7745"/>
    <w:rsid w:val="007B20C1"/>
    <w:rsid w:val="007B3A6D"/>
    <w:rsid w:val="007B71F4"/>
    <w:rsid w:val="007C2448"/>
    <w:rsid w:val="007C3D53"/>
    <w:rsid w:val="007C57F8"/>
    <w:rsid w:val="007C79EC"/>
    <w:rsid w:val="007D0B93"/>
    <w:rsid w:val="007D2EC9"/>
    <w:rsid w:val="007D3D3D"/>
    <w:rsid w:val="007D42ED"/>
    <w:rsid w:val="007D5DDE"/>
    <w:rsid w:val="007D5F01"/>
    <w:rsid w:val="007D75D5"/>
    <w:rsid w:val="007D7D92"/>
    <w:rsid w:val="007E26F7"/>
    <w:rsid w:val="007E506D"/>
    <w:rsid w:val="007E5D46"/>
    <w:rsid w:val="007E5F88"/>
    <w:rsid w:val="007E70B3"/>
    <w:rsid w:val="007E76AC"/>
    <w:rsid w:val="007F0ECE"/>
    <w:rsid w:val="007F2E13"/>
    <w:rsid w:val="007F35FF"/>
    <w:rsid w:val="007F6244"/>
    <w:rsid w:val="007F7084"/>
    <w:rsid w:val="00800A7D"/>
    <w:rsid w:val="00803AA9"/>
    <w:rsid w:val="00803CE8"/>
    <w:rsid w:val="00804578"/>
    <w:rsid w:val="00805350"/>
    <w:rsid w:val="00805FFB"/>
    <w:rsid w:val="0080785F"/>
    <w:rsid w:val="00807EEE"/>
    <w:rsid w:val="00810C35"/>
    <w:rsid w:val="00810FE5"/>
    <w:rsid w:val="0081109D"/>
    <w:rsid w:val="008119A7"/>
    <w:rsid w:val="0081334D"/>
    <w:rsid w:val="00815942"/>
    <w:rsid w:val="00816CC0"/>
    <w:rsid w:val="00821303"/>
    <w:rsid w:val="0082216D"/>
    <w:rsid w:val="00824A15"/>
    <w:rsid w:val="00825F76"/>
    <w:rsid w:val="00832587"/>
    <w:rsid w:val="0083304D"/>
    <w:rsid w:val="0083466D"/>
    <w:rsid w:val="0083555A"/>
    <w:rsid w:val="00835CA4"/>
    <w:rsid w:val="00836C47"/>
    <w:rsid w:val="00837353"/>
    <w:rsid w:val="0084028B"/>
    <w:rsid w:val="00840742"/>
    <w:rsid w:val="00843CA5"/>
    <w:rsid w:val="008450DE"/>
    <w:rsid w:val="00846111"/>
    <w:rsid w:val="0084653B"/>
    <w:rsid w:val="00847E33"/>
    <w:rsid w:val="008503FA"/>
    <w:rsid w:val="0085128C"/>
    <w:rsid w:val="00851C86"/>
    <w:rsid w:val="00862CAC"/>
    <w:rsid w:val="00864B57"/>
    <w:rsid w:val="00864D91"/>
    <w:rsid w:val="00870FB5"/>
    <w:rsid w:val="0087159E"/>
    <w:rsid w:val="00872267"/>
    <w:rsid w:val="00876A89"/>
    <w:rsid w:val="00876F79"/>
    <w:rsid w:val="00877A86"/>
    <w:rsid w:val="008819DC"/>
    <w:rsid w:val="00884716"/>
    <w:rsid w:val="0088673F"/>
    <w:rsid w:val="00890663"/>
    <w:rsid w:val="00892E3F"/>
    <w:rsid w:val="00894D36"/>
    <w:rsid w:val="00894FF8"/>
    <w:rsid w:val="00895ED0"/>
    <w:rsid w:val="008967A9"/>
    <w:rsid w:val="0089731A"/>
    <w:rsid w:val="008A1421"/>
    <w:rsid w:val="008A47B7"/>
    <w:rsid w:val="008A6433"/>
    <w:rsid w:val="008B0042"/>
    <w:rsid w:val="008B15B6"/>
    <w:rsid w:val="008B17B9"/>
    <w:rsid w:val="008B1AD0"/>
    <w:rsid w:val="008B26A6"/>
    <w:rsid w:val="008C2EFF"/>
    <w:rsid w:val="008C390C"/>
    <w:rsid w:val="008C46F1"/>
    <w:rsid w:val="008C5B99"/>
    <w:rsid w:val="008D08EA"/>
    <w:rsid w:val="008D19D9"/>
    <w:rsid w:val="008D1A57"/>
    <w:rsid w:val="008D3D8D"/>
    <w:rsid w:val="008D7A94"/>
    <w:rsid w:val="008E1462"/>
    <w:rsid w:val="008E272B"/>
    <w:rsid w:val="008E2816"/>
    <w:rsid w:val="008E4713"/>
    <w:rsid w:val="008E4C06"/>
    <w:rsid w:val="008F2B60"/>
    <w:rsid w:val="008F3771"/>
    <w:rsid w:val="008F656C"/>
    <w:rsid w:val="008F6D4C"/>
    <w:rsid w:val="008F78B9"/>
    <w:rsid w:val="00900B38"/>
    <w:rsid w:val="00902EDB"/>
    <w:rsid w:val="009032B6"/>
    <w:rsid w:val="00903707"/>
    <w:rsid w:val="0090372F"/>
    <w:rsid w:val="00903FC2"/>
    <w:rsid w:val="00906A8B"/>
    <w:rsid w:val="0091104F"/>
    <w:rsid w:val="0091220A"/>
    <w:rsid w:val="0091651A"/>
    <w:rsid w:val="00920CD0"/>
    <w:rsid w:val="00921C66"/>
    <w:rsid w:val="00922469"/>
    <w:rsid w:val="009231FC"/>
    <w:rsid w:val="00923E06"/>
    <w:rsid w:val="009257B5"/>
    <w:rsid w:val="00926175"/>
    <w:rsid w:val="00926502"/>
    <w:rsid w:val="00927B1B"/>
    <w:rsid w:val="009301B1"/>
    <w:rsid w:val="00931C81"/>
    <w:rsid w:val="0093307D"/>
    <w:rsid w:val="00933A0B"/>
    <w:rsid w:val="00937803"/>
    <w:rsid w:val="0094346D"/>
    <w:rsid w:val="00943E62"/>
    <w:rsid w:val="009451C1"/>
    <w:rsid w:val="009462CB"/>
    <w:rsid w:val="00950232"/>
    <w:rsid w:val="0095026D"/>
    <w:rsid w:val="0095076C"/>
    <w:rsid w:val="00951013"/>
    <w:rsid w:val="009512BA"/>
    <w:rsid w:val="00951C39"/>
    <w:rsid w:val="00951E14"/>
    <w:rsid w:val="00952CBB"/>
    <w:rsid w:val="0096007E"/>
    <w:rsid w:val="0096327C"/>
    <w:rsid w:val="009647E8"/>
    <w:rsid w:val="009679B9"/>
    <w:rsid w:val="00971BFE"/>
    <w:rsid w:val="00972EE3"/>
    <w:rsid w:val="00973063"/>
    <w:rsid w:val="0097557C"/>
    <w:rsid w:val="00982596"/>
    <w:rsid w:val="00987B62"/>
    <w:rsid w:val="00991A0E"/>
    <w:rsid w:val="00993C36"/>
    <w:rsid w:val="00994084"/>
    <w:rsid w:val="009973FB"/>
    <w:rsid w:val="009A20EC"/>
    <w:rsid w:val="009A622F"/>
    <w:rsid w:val="009B232B"/>
    <w:rsid w:val="009B6E5A"/>
    <w:rsid w:val="009B7ACE"/>
    <w:rsid w:val="009C526E"/>
    <w:rsid w:val="009C76DC"/>
    <w:rsid w:val="009D1073"/>
    <w:rsid w:val="009D4458"/>
    <w:rsid w:val="009E0482"/>
    <w:rsid w:val="009E1003"/>
    <w:rsid w:val="009E4AE6"/>
    <w:rsid w:val="009E6F19"/>
    <w:rsid w:val="009E7B0F"/>
    <w:rsid w:val="009E7FB0"/>
    <w:rsid w:val="009F146A"/>
    <w:rsid w:val="009F475A"/>
    <w:rsid w:val="009F4A49"/>
    <w:rsid w:val="009F599A"/>
    <w:rsid w:val="009F757D"/>
    <w:rsid w:val="00A007D3"/>
    <w:rsid w:val="00A009F0"/>
    <w:rsid w:val="00A01E52"/>
    <w:rsid w:val="00A03F13"/>
    <w:rsid w:val="00A05154"/>
    <w:rsid w:val="00A119CA"/>
    <w:rsid w:val="00A208C4"/>
    <w:rsid w:val="00A21F8A"/>
    <w:rsid w:val="00A261CB"/>
    <w:rsid w:val="00A26DEA"/>
    <w:rsid w:val="00A30AE2"/>
    <w:rsid w:val="00A31A83"/>
    <w:rsid w:val="00A36763"/>
    <w:rsid w:val="00A371B8"/>
    <w:rsid w:val="00A416F7"/>
    <w:rsid w:val="00A41D10"/>
    <w:rsid w:val="00A436AD"/>
    <w:rsid w:val="00A43B51"/>
    <w:rsid w:val="00A4619D"/>
    <w:rsid w:val="00A47B70"/>
    <w:rsid w:val="00A51DF5"/>
    <w:rsid w:val="00A523F9"/>
    <w:rsid w:val="00A53C44"/>
    <w:rsid w:val="00A54B03"/>
    <w:rsid w:val="00A56BC8"/>
    <w:rsid w:val="00A61780"/>
    <w:rsid w:val="00A63044"/>
    <w:rsid w:val="00A64547"/>
    <w:rsid w:val="00A677CB"/>
    <w:rsid w:val="00A67FAE"/>
    <w:rsid w:val="00A70033"/>
    <w:rsid w:val="00A734D7"/>
    <w:rsid w:val="00A75DF0"/>
    <w:rsid w:val="00A771D6"/>
    <w:rsid w:val="00A80292"/>
    <w:rsid w:val="00A8178C"/>
    <w:rsid w:val="00A83CCD"/>
    <w:rsid w:val="00A849A5"/>
    <w:rsid w:val="00A8536E"/>
    <w:rsid w:val="00A86EA2"/>
    <w:rsid w:val="00A908EC"/>
    <w:rsid w:val="00A926A5"/>
    <w:rsid w:val="00A92A28"/>
    <w:rsid w:val="00A94DD2"/>
    <w:rsid w:val="00AA3763"/>
    <w:rsid w:val="00AA51D5"/>
    <w:rsid w:val="00AB44E6"/>
    <w:rsid w:val="00AB478E"/>
    <w:rsid w:val="00AB578E"/>
    <w:rsid w:val="00AC0148"/>
    <w:rsid w:val="00AC0216"/>
    <w:rsid w:val="00AC0A4F"/>
    <w:rsid w:val="00AC7D7D"/>
    <w:rsid w:val="00AD0303"/>
    <w:rsid w:val="00AD0ED7"/>
    <w:rsid w:val="00AD15EB"/>
    <w:rsid w:val="00AD2439"/>
    <w:rsid w:val="00AD585F"/>
    <w:rsid w:val="00AD5EFC"/>
    <w:rsid w:val="00AD62F3"/>
    <w:rsid w:val="00AE7D41"/>
    <w:rsid w:val="00AF0D9B"/>
    <w:rsid w:val="00AF1959"/>
    <w:rsid w:val="00AF613B"/>
    <w:rsid w:val="00AF7EE7"/>
    <w:rsid w:val="00B02876"/>
    <w:rsid w:val="00B03359"/>
    <w:rsid w:val="00B03588"/>
    <w:rsid w:val="00B03CBB"/>
    <w:rsid w:val="00B045C5"/>
    <w:rsid w:val="00B1195A"/>
    <w:rsid w:val="00B11A6E"/>
    <w:rsid w:val="00B11DA1"/>
    <w:rsid w:val="00B12B2D"/>
    <w:rsid w:val="00B176DE"/>
    <w:rsid w:val="00B2210B"/>
    <w:rsid w:val="00B2282E"/>
    <w:rsid w:val="00B32E5D"/>
    <w:rsid w:val="00B330FC"/>
    <w:rsid w:val="00B35C84"/>
    <w:rsid w:val="00B367E9"/>
    <w:rsid w:val="00B40B7F"/>
    <w:rsid w:val="00B41FD5"/>
    <w:rsid w:val="00B43684"/>
    <w:rsid w:val="00B47C76"/>
    <w:rsid w:val="00B51673"/>
    <w:rsid w:val="00B5196E"/>
    <w:rsid w:val="00B575C4"/>
    <w:rsid w:val="00B61B18"/>
    <w:rsid w:val="00B62558"/>
    <w:rsid w:val="00B62B96"/>
    <w:rsid w:val="00B632E2"/>
    <w:rsid w:val="00B63694"/>
    <w:rsid w:val="00B64B3D"/>
    <w:rsid w:val="00B65052"/>
    <w:rsid w:val="00B662D4"/>
    <w:rsid w:val="00B672A3"/>
    <w:rsid w:val="00B7106F"/>
    <w:rsid w:val="00B7376B"/>
    <w:rsid w:val="00B73AF7"/>
    <w:rsid w:val="00B75E2B"/>
    <w:rsid w:val="00B777C3"/>
    <w:rsid w:val="00B855B7"/>
    <w:rsid w:val="00B86739"/>
    <w:rsid w:val="00B87266"/>
    <w:rsid w:val="00B873B4"/>
    <w:rsid w:val="00B9027B"/>
    <w:rsid w:val="00B9099B"/>
    <w:rsid w:val="00B9259E"/>
    <w:rsid w:val="00B93FA2"/>
    <w:rsid w:val="00B94043"/>
    <w:rsid w:val="00B95489"/>
    <w:rsid w:val="00B96B34"/>
    <w:rsid w:val="00BA075E"/>
    <w:rsid w:val="00BA088A"/>
    <w:rsid w:val="00BA5055"/>
    <w:rsid w:val="00BB2BDD"/>
    <w:rsid w:val="00BB3DA2"/>
    <w:rsid w:val="00BC194E"/>
    <w:rsid w:val="00BC2AC7"/>
    <w:rsid w:val="00BC5566"/>
    <w:rsid w:val="00BC65A6"/>
    <w:rsid w:val="00BD0C03"/>
    <w:rsid w:val="00BD0E83"/>
    <w:rsid w:val="00BD1354"/>
    <w:rsid w:val="00BD1409"/>
    <w:rsid w:val="00BD1666"/>
    <w:rsid w:val="00BD3DC3"/>
    <w:rsid w:val="00BE0986"/>
    <w:rsid w:val="00BE12A6"/>
    <w:rsid w:val="00BE39F7"/>
    <w:rsid w:val="00BE4E16"/>
    <w:rsid w:val="00BE6C33"/>
    <w:rsid w:val="00BF4E7B"/>
    <w:rsid w:val="00BF7146"/>
    <w:rsid w:val="00C003B6"/>
    <w:rsid w:val="00C01644"/>
    <w:rsid w:val="00C033C9"/>
    <w:rsid w:val="00C03627"/>
    <w:rsid w:val="00C04727"/>
    <w:rsid w:val="00C07051"/>
    <w:rsid w:val="00C140D6"/>
    <w:rsid w:val="00C14FAC"/>
    <w:rsid w:val="00C21B22"/>
    <w:rsid w:val="00C30565"/>
    <w:rsid w:val="00C30858"/>
    <w:rsid w:val="00C31DBB"/>
    <w:rsid w:val="00C36367"/>
    <w:rsid w:val="00C4141B"/>
    <w:rsid w:val="00C43858"/>
    <w:rsid w:val="00C44822"/>
    <w:rsid w:val="00C452CA"/>
    <w:rsid w:val="00C45E3E"/>
    <w:rsid w:val="00C47B8A"/>
    <w:rsid w:val="00C47E34"/>
    <w:rsid w:val="00C56600"/>
    <w:rsid w:val="00C6071C"/>
    <w:rsid w:val="00C624F6"/>
    <w:rsid w:val="00C635AE"/>
    <w:rsid w:val="00C63BB4"/>
    <w:rsid w:val="00C6446F"/>
    <w:rsid w:val="00C668C3"/>
    <w:rsid w:val="00C67DF6"/>
    <w:rsid w:val="00C67F70"/>
    <w:rsid w:val="00C70701"/>
    <w:rsid w:val="00C7103F"/>
    <w:rsid w:val="00C7280E"/>
    <w:rsid w:val="00C72F45"/>
    <w:rsid w:val="00C740DF"/>
    <w:rsid w:val="00C749C7"/>
    <w:rsid w:val="00C76DEA"/>
    <w:rsid w:val="00C77C25"/>
    <w:rsid w:val="00C83B89"/>
    <w:rsid w:val="00C8604B"/>
    <w:rsid w:val="00C865A5"/>
    <w:rsid w:val="00C87605"/>
    <w:rsid w:val="00C90BCA"/>
    <w:rsid w:val="00C91F62"/>
    <w:rsid w:val="00C92896"/>
    <w:rsid w:val="00C93948"/>
    <w:rsid w:val="00C95F89"/>
    <w:rsid w:val="00C9684A"/>
    <w:rsid w:val="00CA44D5"/>
    <w:rsid w:val="00CA4A45"/>
    <w:rsid w:val="00CA6B5C"/>
    <w:rsid w:val="00CA7FEC"/>
    <w:rsid w:val="00CB207A"/>
    <w:rsid w:val="00CB4A16"/>
    <w:rsid w:val="00CB688D"/>
    <w:rsid w:val="00CB6983"/>
    <w:rsid w:val="00CC09BC"/>
    <w:rsid w:val="00CC1A2F"/>
    <w:rsid w:val="00CC3949"/>
    <w:rsid w:val="00CC4B36"/>
    <w:rsid w:val="00CC5DB3"/>
    <w:rsid w:val="00CC609A"/>
    <w:rsid w:val="00CC6485"/>
    <w:rsid w:val="00CD32F9"/>
    <w:rsid w:val="00CD55B6"/>
    <w:rsid w:val="00CE39FD"/>
    <w:rsid w:val="00CF2389"/>
    <w:rsid w:val="00CF57AF"/>
    <w:rsid w:val="00D00425"/>
    <w:rsid w:val="00D01D2A"/>
    <w:rsid w:val="00D053E8"/>
    <w:rsid w:val="00D05AB8"/>
    <w:rsid w:val="00D05DFD"/>
    <w:rsid w:val="00D065E2"/>
    <w:rsid w:val="00D11D2D"/>
    <w:rsid w:val="00D11FCF"/>
    <w:rsid w:val="00D1431E"/>
    <w:rsid w:val="00D1502D"/>
    <w:rsid w:val="00D157B7"/>
    <w:rsid w:val="00D16783"/>
    <w:rsid w:val="00D30CE5"/>
    <w:rsid w:val="00D43386"/>
    <w:rsid w:val="00D45DD8"/>
    <w:rsid w:val="00D46969"/>
    <w:rsid w:val="00D517B3"/>
    <w:rsid w:val="00D54B80"/>
    <w:rsid w:val="00D607B7"/>
    <w:rsid w:val="00D616A3"/>
    <w:rsid w:val="00D61DD2"/>
    <w:rsid w:val="00D63425"/>
    <w:rsid w:val="00D639E5"/>
    <w:rsid w:val="00D641F8"/>
    <w:rsid w:val="00D65547"/>
    <w:rsid w:val="00D656F8"/>
    <w:rsid w:val="00D65ECF"/>
    <w:rsid w:val="00D67213"/>
    <w:rsid w:val="00D6737B"/>
    <w:rsid w:val="00D706BD"/>
    <w:rsid w:val="00D7190D"/>
    <w:rsid w:val="00D723FB"/>
    <w:rsid w:val="00D74211"/>
    <w:rsid w:val="00D748A8"/>
    <w:rsid w:val="00D9013C"/>
    <w:rsid w:val="00D90D74"/>
    <w:rsid w:val="00D923DC"/>
    <w:rsid w:val="00D9264C"/>
    <w:rsid w:val="00D92FE5"/>
    <w:rsid w:val="00D958AF"/>
    <w:rsid w:val="00D96CD7"/>
    <w:rsid w:val="00DA1A57"/>
    <w:rsid w:val="00DA262D"/>
    <w:rsid w:val="00DA428B"/>
    <w:rsid w:val="00DB1290"/>
    <w:rsid w:val="00DB1566"/>
    <w:rsid w:val="00DB15A2"/>
    <w:rsid w:val="00DB61AB"/>
    <w:rsid w:val="00DB6BE0"/>
    <w:rsid w:val="00DC2443"/>
    <w:rsid w:val="00DC2915"/>
    <w:rsid w:val="00DD026C"/>
    <w:rsid w:val="00DE448E"/>
    <w:rsid w:val="00DE53F3"/>
    <w:rsid w:val="00DE56C5"/>
    <w:rsid w:val="00DE6640"/>
    <w:rsid w:val="00DF28C0"/>
    <w:rsid w:val="00DF61E7"/>
    <w:rsid w:val="00DF6528"/>
    <w:rsid w:val="00E1356E"/>
    <w:rsid w:val="00E163BE"/>
    <w:rsid w:val="00E16877"/>
    <w:rsid w:val="00E21C0A"/>
    <w:rsid w:val="00E2249E"/>
    <w:rsid w:val="00E23BBD"/>
    <w:rsid w:val="00E271BB"/>
    <w:rsid w:val="00E274AF"/>
    <w:rsid w:val="00E3219B"/>
    <w:rsid w:val="00E32F31"/>
    <w:rsid w:val="00E37FE8"/>
    <w:rsid w:val="00E40A2A"/>
    <w:rsid w:val="00E43370"/>
    <w:rsid w:val="00E523D1"/>
    <w:rsid w:val="00E5279E"/>
    <w:rsid w:val="00E53553"/>
    <w:rsid w:val="00E54A54"/>
    <w:rsid w:val="00E54A61"/>
    <w:rsid w:val="00E55322"/>
    <w:rsid w:val="00E57CD5"/>
    <w:rsid w:val="00E61129"/>
    <w:rsid w:val="00E615A1"/>
    <w:rsid w:val="00E61E1F"/>
    <w:rsid w:val="00E62E89"/>
    <w:rsid w:val="00E63F50"/>
    <w:rsid w:val="00E64C47"/>
    <w:rsid w:val="00E653A8"/>
    <w:rsid w:val="00E736AD"/>
    <w:rsid w:val="00E74ED1"/>
    <w:rsid w:val="00E761DC"/>
    <w:rsid w:val="00E770C4"/>
    <w:rsid w:val="00E81C52"/>
    <w:rsid w:val="00E83843"/>
    <w:rsid w:val="00E846B9"/>
    <w:rsid w:val="00E84BFF"/>
    <w:rsid w:val="00E854BF"/>
    <w:rsid w:val="00E93D38"/>
    <w:rsid w:val="00E969A6"/>
    <w:rsid w:val="00EA0A27"/>
    <w:rsid w:val="00EA108E"/>
    <w:rsid w:val="00EA36B0"/>
    <w:rsid w:val="00EA42C4"/>
    <w:rsid w:val="00EA4710"/>
    <w:rsid w:val="00EA4829"/>
    <w:rsid w:val="00EA565D"/>
    <w:rsid w:val="00EA7801"/>
    <w:rsid w:val="00EB1CFA"/>
    <w:rsid w:val="00EB3C40"/>
    <w:rsid w:val="00EB6B82"/>
    <w:rsid w:val="00EB6D30"/>
    <w:rsid w:val="00EB7625"/>
    <w:rsid w:val="00EB77BF"/>
    <w:rsid w:val="00EC055D"/>
    <w:rsid w:val="00EC05E8"/>
    <w:rsid w:val="00EC1877"/>
    <w:rsid w:val="00EC1A59"/>
    <w:rsid w:val="00EC1CC9"/>
    <w:rsid w:val="00ED3526"/>
    <w:rsid w:val="00EE0865"/>
    <w:rsid w:val="00EE08FF"/>
    <w:rsid w:val="00EE321A"/>
    <w:rsid w:val="00EE488D"/>
    <w:rsid w:val="00EE4AEE"/>
    <w:rsid w:val="00EF45DE"/>
    <w:rsid w:val="00EF47AC"/>
    <w:rsid w:val="00EF7122"/>
    <w:rsid w:val="00F000B8"/>
    <w:rsid w:val="00F00641"/>
    <w:rsid w:val="00F00F01"/>
    <w:rsid w:val="00F02805"/>
    <w:rsid w:val="00F0282F"/>
    <w:rsid w:val="00F039AB"/>
    <w:rsid w:val="00F03A44"/>
    <w:rsid w:val="00F03EF7"/>
    <w:rsid w:val="00F03F34"/>
    <w:rsid w:val="00F0632F"/>
    <w:rsid w:val="00F065A3"/>
    <w:rsid w:val="00F1132F"/>
    <w:rsid w:val="00F17C14"/>
    <w:rsid w:val="00F17EB6"/>
    <w:rsid w:val="00F21207"/>
    <w:rsid w:val="00F23A0F"/>
    <w:rsid w:val="00F25D37"/>
    <w:rsid w:val="00F2762C"/>
    <w:rsid w:val="00F32EA1"/>
    <w:rsid w:val="00F35AB0"/>
    <w:rsid w:val="00F40C30"/>
    <w:rsid w:val="00F44C9C"/>
    <w:rsid w:val="00F45676"/>
    <w:rsid w:val="00F473EE"/>
    <w:rsid w:val="00F524E3"/>
    <w:rsid w:val="00F53650"/>
    <w:rsid w:val="00F54A89"/>
    <w:rsid w:val="00F56287"/>
    <w:rsid w:val="00F56674"/>
    <w:rsid w:val="00F60B4E"/>
    <w:rsid w:val="00F67690"/>
    <w:rsid w:val="00F70DE1"/>
    <w:rsid w:val="00F73DEE"/>
    <w:rsid w:val="00F7437B"/>
    <w:rsid w:val="00F7530C"/>
    <w:rsid w:val="00F753A8"/>
    <w:rsid w:val="00F801E9"/>
    <w:rsid w:val="00F81311"/>
    <w:rsid w:val="00F818DE"/>
    <w:rsid w:val="00F82399"/>
    <w:rsid w:val="00F85D06"/>
    <w:rsid w:val="00F87324"/>
    <w:rsid w:val="00F912DA"/>
    <w:rsid w:val="00F943A2"/>
    <w:rsid w:val="00F97BCD"/>
    <w:rsid w:val="00FA5D69"/>
    <w:rsid w:val="00FB1A5B"/>
    <w:rsid w:val="00FB3C33"/>
    <w:rsid w:val="00FB3E9E"/>
    <w:rsid w:val="00FB4143"/>
    <w:rsid w:val="00FB560E"/>
    <w:rsid w:val="00FB5A79"/>
    <w:rsid w:val="00FB672F"/>
    <w:rsid w:val="00FB7495"/>
    <w:rsid w:val="00FC1EF3"/>
    <w:rsid w:val="00FC3EE4"/>
    <w:rsid w:val="00FC41DA"/>
    <w:rsid w:val="00FC7626"/>
    <w:rsid w:val="00FC7A9F"/>
    <w:rsid w:val="00FD245D"/>
    <w:rsid w:val="00FD602A"/>
    <w:rsid w:val="00FD71EF"/>
    <w:rsid w:val="00FE16A2"/>
    <w:rsid w:val="00FF02A0"/>
    <w:rsid w:val="00FF0658"/>
    <w:rsid w:val="00FF2836"/>
    <w:rsid w:val="00FF3669"/>
    <w:rsid w:val="00FF3EBC"/>
    <w:rsid w:val="00FF67A6"/>
    <w:rsid w:val="19D64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96816"/>
  <w15:docId w15:val="{1A2DFE92-3424-410D-902E-0F76FBC4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54"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11" w:unhideWhenUsed="1" w:qFormat="1"/>
    <w:lsdException w:name="List Number" w:semiHidden="1" w:uiPriority="19"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19" w:unhideWhenUsed="1"/>
    <w:lsdException w:name="List Bullet 3" w:semiHidden="1" w:uiPriority="19" w:unhideWhenUsed="1"/>
    <w:lsdException w:name="List Bullet 4" w:semiHidden="1" w:uiPriority="0" w:unhideWhenUsed="1"/>
    <w:lsdException w:name="List Bullet 5" w:semiHidden="1" w:uiPriority="0" w:unhideWhenUsed="1"/>
    <w:lsdException w:name="List Number 2" w:semiHidden="1" w:uiPriority="19" w:unhideWhenUsed="1" w:qFormat="1"/>
    <w:lsdException w:name="List Number 3" w:semiHidden="1" w:unhideWhenUsed="1"/>
    <w:lsdException w:name="List Number 4" w:semiHidden="1" w:uiPriority="0" w:unhideWhenUsed="1"/>
    <w:lsdException w:name="List Number 5" w:semiHidden="1" w:uiPriority="0"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4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0"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555EC7"/>
    <w:pPr>
      <w:spacing w:after="120" w:line="240" w:lineRule="atLeast"/>
    </w:pPr>
    <w:rPr>
      <w:rFonts w:ascii="Arial" w:eastAsiaTheme="minorHAnsi" w:hAnsi="Arial"/>
      <w:color w:val="333333"/>
      <w:sz w:val="18"/>
      <w:szCs w:val="20"/>
      <w:lang w:val="en-AU"/>
    </w:rPr>
  </w:style>
  <w:style w:type="paragraph" w:styleId="Heading1">
    <w:name w:val="heading 1"/>
    <w:next w:val="BodyText"/>
    <w:link w:val="Heading1Char"/>
    <w:autoRedefine/>
    <w:uiPriority w:val="4"/>
    <w:qFormat/>
    <w:rsid w:val="00B1195A"/>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315318"/>
    <w:pPr>
      <w:keepNext/>
      <w:keepLines/>
      <w:numPr>
        <w:ilvl w:val="1"/>
        <w:numId w:val="9"/>
      </w:numPr>
      <w:spacing w:before="200" w:after="80" w:line="336" w:lineRule="atLeast"/>
      <w:outlineLvl w:val="1"/>
    </w:pPr>
    <w:rPr>
      <w:rFonts w:eastAsiaTheme="majorEastAsia" w:cstheme="majorBidi"/>
      <w:b/>
      <w:color w:val="00BAC0"/>
      <w:sz w:val="24"/>
      <w:szCs w:val="24"/>
    </w:rPr>
  </w:style>
  <w:style w:type="paragraph" w:styleId="Heading3">
    <w:name w:val="heading 3"/>
    <w:basedOn w:val="Normal"/>
    <w:next w:val="BodyText"/>
    <w:link w:val="Heading3Char"/>
    <w:uiPriority w:val="4"/>
    <w:qFormat/>
    <w:rsid w:val="00B94043"/>
    <w:pPr>
      <w:keepNext/>
      <w:keepLines/>
      <w:numPr>
        <w:ilvl w:val="2"/>
        <w:numId w:val="9"/>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B94043"/>
    <w:pPr>
      <w:keepNext/>
      <w:keepLines/>
      <w:numPr>
        <w:ilvl w:val="3"/>
        <w:numId w:val="9"/>
      </w:numPr>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Cs w:val="18"/>
    </w:rPr>
  </w:style>
  <w:style w:type="paragraph" w:styleId="CommentText">
    <w:name w:val="annotation text"/>
    <w:basedOn w:val="Normal"/>
    <w:link w:val="CommentTextChar"/>
    <w:uiPriority w:val="99"/>
    <w:unhideWhenUsed/>
    <w:rsid w:val="0097557C"/>
    <w:pPr>
      <w:spacing w:line="240" w:lineRule="auto"/>
    </w:pPr>
  </w:style>
  <w:style w:type="character" w:customStyle="1" w:styleId="CommentTextChar">
    <w:name w:val="Comment Text Char"/>
    <w:basedOn w:val="DefaultParagraphFont"/>
    <w:link w:val="CommentText"/>
    <w:uiPriority w:val="99"/>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7557C"/>
    <w:pPr>
      <w:spacing w:line="240" w:lineRule="auto"/>
    </w:p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uiPriority w:val="4"/>
    <w:rsid w:val="00B1195A"/>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315318"/>
    <w:rPr>
      <w:rFonts w:ascii="Arial" w:eastAsiaTheme="majorEastAsia" w:hAnsi="Arial" w:cstheme="majorBidi"/>
      <w:b/>
      <w:color w:val="00BAC0"/>
      <w:sz w:val="24"/>
      <w:szCs w:val="24"/>
      <w:lang w:val="en-AU"/>
    </w:rPr>
  </w:style>
  <w:style w:type="character" w:customStyle="1" w:styleId="Heading3Char">
    <w:name w:val="Heading 3 Char"/>
    <w:basedOn w:val="DefaultParagraphFont"/>
    <w:link w:val="Heading3"/>
    <w:uiPriority w:val="4"/>
    <w:rsid w:val="00B94043"/>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B94043"/>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link w:val="ListBulletChar"/>
    <w:uiPriority w:val="11"/>
    <w:qFormat/>
    <w:rsid w:val="00810C35"/>
    <w:pPr>
      <w:numPr>
        <w:numId w:val="22"/>
      </w:numPr>
      <w:spacing w:before="40" w:after="40"/>
      <w:ind w:left="340" w:hanging="34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810C35"/>
    <w:pPr>
      <w:numPr>
        <w:numId w:val="24"/>
      </w:numPr>
      <w:ind w:left="680" w:hanging="340"/>
    </w:pPr>
  </w:style>
  <w:style w:type="paragraph" w:styleId="ListBullet3">
    <w:name w:val="List Bullet 3"/>
    <w:basedOn w:val="ListBullet"/>
    <w:uiPriority w:val="19"/>
    <w:unhideWhenUsed/>
    <w:rsid w:val="00A261CB"/>
    <w:pPr>
      <w:tabs>
        <w:tab w:val="num" w:pos="1020"/>
      </w:tabs>
      <w:ind w:left="1020"/>
    </w:pPr>
  </w:style>
  <w:style w:type="paragraph" w:styleId="ListBullet4">
    <w:name w:val="List Bullet 4"/>
    <w:basedOn w:val="Normal"/>
    <w:semiHidden/>
    <w:unhideWhenUsed/>
    <w:rsid w:val="0097557C"/>
    <w:pPr>
      <w:numPr>
        <w:numId w:val="1"/>
      </w:numPr>
      <w:contextualSpacing/>
    </w:pPr>
  </w:style>
  <w:style w:type="paragraph" w:styleId="ListBullet5">
    <w:name w:val="List Bullet 5"/>
    <w:basedOn w:val="Normal"/>
    <w:semiHidden/>
    <w:unhideWhenUsed/>
    <w:rsid w:val="0097557C"/>
    <w:pPr>
      <w:numPr>
        <w:numId w:val="2"/>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7F0ECE"/>
    <w:pPr>
      <w:numPr>
        <w:numId w:val="11"/>
      </w:numPr>
      <w:spacing w:before="40" w:after="40" w:line="240" w:lineRule="auto"/>
    </w:pPr>
    <w:rPr>
      <w:color w:val="404040" w:themeColor="text1" w:themeTint="BF"/>
      <w:szCs w:val="19"/>
    </w:rPr>
  </w:style>
  <w:style w:type="paragraph" w:styleId="ListNumber2">
    <w:name w:val="List Number 2"/>
    <w:basedOn w:val="ListNumber"/>
    <w:uiPriority w:val="19"/>
    <w:unhideWhenUsed/>
    <w:qFormat/>
    <w:rsid w:val="007F0ECE"/>
    <w:pPr>
      <w:numPr>
        <w:ilvl w:val="1"/>
      </w:numPr>
    </w:pPr>
  </w:style>
  <w:style w:type="paragraph" w:styleId="ListNumber3">
    <w:name w:val="List Number 3"/>
    <w:basedOn w:val="Normal"/>
    <w:uiPriority w:val="99"/>
    <w:semiHidden/>
    <w:rsid w:val="00796555"/>
    <w:pPr>
      <w:numPr>
        <w:ilvl w:val="7"/>
        <w:numId w:val="12"/>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3"/>
      </w:numPr>
      <w:contextualSpacing/>
    </w:pPr>
  </w:style>
  <w:style w:type="paragraph" w:styleId="ListNumber5">
    <w:name w:val="List Number 5"/>
    <w:basedOn w:val="Normal"/>
    <w:semiHidden/>
    <w:unhideWhenUsed/>
    <w:rsid w:val="0097557C"/>
    <w:pPr>
      <w:numPr>
        <w:numId w:val="4"/>
      </w:numPr>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55EC7"/>
    <w:rPr>
      <w:color w:val="0070C0"/>
      <w:u w:val="single"/>
    </w:rPr>
  </w:style>
  <w:style w:type="paragraph" w:customStyle="1" w:styleId="BodyBullet1">
    <w:name w:val="Body Bullet 1"/>
    <w:basedOn w:val="Normal"/>
    <w:semiHidden/>
    <w:qFormat/>
    <w:rsid w:val="00796555"/>
    <w:pPr>
      <w:numPr>
        <w:numId w:val="7"/>
      </w:numPr>
      <w:tabs>
        <w:tab w:val="num" w:pos="360"/>
      </w:tabs>
      <w:contextualSpacing/>
    </w:pPr>
  </w:style>
  <w:style w:type="paragraph" w:customStyle="1" w:styleId="BodyBullet2">
    <w:name w:val="Body Bullet 2"/>
    <w:basedOn w:val="BodyBullet1"/>
    <w:semiHidden/>
    <w:qFormat/>
    <w:rsid w:val="00796555"/>
    <w:pPr>
      <w:numPr>
        <w:numId w:val="8"/>
      </w:numPr>
      <w:tabs>
        <w:tab w:val="num" w:pos="360"/>
      </w:tabs>
    </w:pPr>
  </w:style>
  <w:style w:type="paragraph" w:styleId="BodyText">
    <w:name w:val="Body Text"/>
    <w:basedOn w:val="Normal"/>
    <w:link w:val="BodyTextChar"/>
    <w:uiPriority w:val="5"/>
    <w:rsid w:val="008D08EA"/>
    <w:pPr>
      <w:spacing w:before="140" w:after="140"/>
    </w:pPr>
    <w:rPr>
      <w:szCs w:val="18"/>
    </w:rPr>
  </w:style>
  <w:style w:type="character" w:customStyle="1" w:styleId="BodyTextChar">
    <w:name w:val="Body Text Char"/>
    <w:basedOn w:val="DefaultParagraphFont"/>
    <w:link w:val="BodyText"/>
    <w:uiPriority w:val="5"/>
    <w:rsid w:val="008D08EA"/>
    <w:rPr>
      <w:rFonts w:ascii="Arial" w:eastAsiaTheme="minorHAnsi" w:hAnsi="Arial"/>
      <w:color w:val="333333"/>
      <w:sz w:val="18"/>
      <w:szCs w:val="18"/>
      <w:lang w:val="en-AU"/>
    </w:rPr>
  </w:style>
  <w:style w:type="numbering" w:customStyle="1" w:styleId="BulletList">
    <w:name w:val="Bullet List"/>
    <w:uiPriority w:val="99"/>
    <w:rsid w:val="00796555"/>
    <w:pPr>
      <w:numPr>
        <w:numId w:val="5"/>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6"/>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numbering" w:customStyle="1" w:styleId="NumberList">
    <w:name w:val="Number List"/>
    <w:uiPriority w:val="99"/>
    <w:rsid w:val="00796555"/>
    <w:pPr>
      <w:numPr>
        <w:numId w:val="11"/>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3E33A4"/>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3E33A4"/>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3E33A4"/>
    <w:pPr>
      <w:spacing w:before="40" w:after="40" w:line="240" w:lineRule="auto"/>
    </w:pPr>
    <w:rPr>
      <w:b/>
    </w:rPr>
  </w:style>
  <w:style w:type="paragraph" w:customStyle="1" w:styleId="TableText">
    <w:name w:val="Table Text"/>
    <w:uiPriority w:val="24"/>
    <w:qFormat/>
    <w:rsid w:val="00B9099B"/>
    <w:pPr>
      <w:spacing w:before="40" w:after="40"/>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28666E"/>
    <w:pPr>
      <w:keepNext/>
      <w:shd w:val="clear" w:color="auto" w:fill="F2F2F2" w:themeFill="background1" w:themeFillShade="F2"/>
      <w:spacing w:before="0" w:after="0" w:line="240" w:lineRule="auto"/>
    </w:pPr>
  </w:style>
  <w:style w:type="character" w:styleId="CommentReference">
    <w:name w:val="annotation reference"/>
    <w:basedOn w:val="DefaultParagraphFont"/>
    <w:uiPriority w:val="99"/>
    <w:unhideWhenUsed/>
    <w:rsid w:val="009B6E5A"/>
    <w:rPr>
      <w:sz w:val="16"/>
      <w:szCs w:val="16"/>
    </w:rPr>
  </w:style>
  <w:style w:type="paragraph" w:styleId="ListParagraph">
    <w:name w:val="List Paragraph"/>
    <w:basedOn w:val="Normal"/>
    <w:link w:val="ListParagraphChar"/>
    <w:uiPriority w:val="34"/>
    <w:qFormat/>
    <w:rsid w:val="002F05A8"/>
    <w:pPr>
      <w:spacing w:after="200"/>
      <w:ind w:left="720"/>
      <w:contextualSpacing/>
      <w:jc w:val="both"/>
    </w:pPr>
    <w:rPr>
      <w:rFonts w:asciiTheme="minorHAnsi" w:hAnsiTheme="minorHAnsi" w:cstheme="minorHAnsi"/>
      <w:sz w:val="22"/>
      <w:szCs w:val="22"/>
      <w:shd w:val="clear" w:color="auto" w:fill="FFFFFF"/>
    </w:rPr>
  </w:style>
  <w:style w:type="character" w:customStyle="1" w:styleId="ListParagraphChar">
    <w:name w:val="List Paragraph Char"/>
    <w:basedOn w:val="DefaultParagraphFont"/>
    <w:link w:val="ListParagraph"/>
    <w:uiPriority w:val="34"/>
    <w:rsid w:val="002F05A8"/>
    <w:rPr>
      <w:rFonts w:eastAsiaTheme="minorHAnsi" w:cstheme="minorHAnsi"/>
      <w:color w:val="333333"/>
      <w:lang w:val="en-AU"/>
    </w:rPr>
  </w:style>
  <w:style w:type="character" w:styleId="FollowedHyperlink">
    <w:name w:val="FollowedHyperlink"/>
    <w:basedOn w:val="DefaultParagraphFont"/>
    <w:uiPriority w:val="99"/>
    <w:semiHidden/>
    <w:unhideWhenUsed/>
    <w:rsid w:val="00864B57"/>
    <w:rPr>
      <w:color w:val="8D009F" w:themeColor="followedHyperlink"/>
      <w:u w:val="single"/>
    </w:rPr>
  </w:style>
  <w:style w:type="paragraph" w:styleId="Revision">
    <w:name w:val="Revision"/>
    <w:hidden/>
    <w:uiPriority w:val="99"/>
    <w:semiHidden/>
    <w:rsid w:val="00C4141B"/>
    <w:rPr>
      <w:rFonts w:ascii="Arial" w:eastAsiaTheme="minorHAnsi" w:hAnsi="Arial"/>
      <w:color w:val="333333"/>
      <w:sz w:val="18"/>
      <w:szCs w:val="20"/>
      <w:lang w:val="en-AU"/>
    </w:rPr>
  </w:style>
  <w:style w:type="character" w:customStyle="1" w:styleId="ListBulletChar">
    <w:name w:val="List Bullet Char"/>
    <w:basedOn w:val="DefaultParagraphFont"/>
    <w:link w:val="ListBullet"/>
    <w:uiPriority w:val="11"/>
    <w:rsid w:val="00BC5566"/>
    <w:rPr>
      <w:rFonts w:ascii="Arial" w:eastAsiaTheme="minorHAnsi" w:hAnsi="Arial"/>
      <w:color w:val="404040" w:themeColor="text1" w:themeTint="BF"/>
      <w:sz w:val="18"/>
      <w:szCs w:val="18"/>
      <w:lang w:val="en-AU"/>
    </w:rPr>
  </w:style>
  <w:style w:type="character" w:styleId="UnresolvedMention">
    <w:name w:val="Unresolved Mention"/>
    <w:basedOn w:val="DefaultParagraphFont"/>
    <w:uiPriority w:val="99"/>
    <w:semiHidden/>
    <w:unhideWhenUsed/>
    <w:rsid w:val="003D2AB2"/>
    <w:rPr>
      <w:color w:val="605E5C"/>
      <w:shd w:val="clear" w:color="auto" w:fill="E1DFDD"/>
    </w:rPr>
  </w:style>
  <w:style w:type="paragraph" w:customStyle="1" w:styleId="pf0">
    <w:name w:val="pf0"/>
    <w:basedOn w:val="Normal"/>
    <w:rsid w:val="00DB1566"/>
    <w:pPr>
      <w:spacing w:before="100" w:beforeAutospacing="1" w:after="100" w:afterAutospacing="1" w:line="240" w:lineRule="auto"/>
    </w:pPr>
    <w:rPr>
      <w:rFonts w:ascii="Calibri" w:hAnsi="Calibri" w:cs="Calibri"/>
      <w:color w:val="auto"/>
      <w:sz w:val="22"/>
      <w:szCs w:val="22"/>
      <w:lang w:eastAsia="en-AU"/>
    </w:rPr>
  </w:style>
  <w:style w:type="character" w:customStyle="1" w:styleId="cf01">
    <w:name w:val="cf01"/>
    <w:basedOn w:val="DefaultParagraphFont"/>
    <w:rsid w:val="00DB1566"/>
    <w:rPr>
      <w:rFonts w:ascii="Arial" w:hAnsi="Arial" w:cs="Arial" w:hint="default"/>
      <w:b/>
      <w:bCs/>
    </w:rPr>
  </w:style>
  <w:style w:type="character" w:customStyle="1" w:styleId="cf11">
    <w:name w:val="cf11"/>
    <w:basedOn w:val="DefaultParagraphFont"/>
    <w:rsid w:val="00DB1566"/>
    <w:rPr>
      <w:rFonts w:ascii="Arial" w:hAnsi="Arial" w:cs="Arial" w:hint="default"/>
    </w:rPr>
  </w:style>
  <w:style w:type="character" w:customStyle="1" w:styleId="cf21">
    <w:name w:val="cf21"/>
    <w:basedOn w:val="DefaultParagraphFont"/>
    <w:rsid w:val="00DB1566"/>
    <w:rPr>
      <w:rFonts w:ascii="Arial" w:hAnsi="Arial" w:cs="Arial" w:hint="default"/>
      <w:color w:val="215E9F"/>
    </w:rPr>
  </w:style>
  <w:style w:type="character" w:customStyle="1" w:styleId="cf31">
    <w:name w:val="cf31"/>
    <w:basedOn w:val="DefaultParagraphFont"/>
    <w:rsid w:val="00DB1566"/>
    <w:rPr>
      <w:rFonts w:ascii="Arial" w:hAnsi="Arial" w:cs="Arial" w:hint="default"/>
    </w:rPr>
  </w:style>
  <w:style w:type="character" w:customStyle="1" w:styleId="cf41">
    <w:name w:val="cf41"/>
    <w:basedOn w:val="DefaultParagraphFont"/>
    <w:rsid w:val="00DB1566"/>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13568">
      <w:bodyDiv w:val="1"/>
      <w:marLeft w:val="0"/>
      <w:marRight w:val="0"/>
      <w:marTop w:val="0"/>
      <w:marBottom w:val="0"/>
      <w:divBdr>
        <w:top w:val="none" w:sz="0" w:space="0" w:color="auto"/>
        <w:left w:val="none" w:sz="0" w:space="0" w:color="auto"/>
        <w:bottom w:val="none" w:sz="0" w:space="0" w:color="auto"/>
        <w:right w:val="none" w:sz="0" w:space="0" w:color="auto"/>
      </w:divBdr>
      <w:divsChild>
        <w:div w:id="2057898191">
          <w:marLeft w:val="0"/>
          <w:marRight w:val="0"/>
          <w:marTop w:val="0"/>
          <w:marBottom w:val="0"/>
          <w:divBdr>
            <w:top w:val="none" w:sz="0" w:space="0" w:color="auto"/>
            <w:left w:val="none" w:sz="0" w:space="0" w:color="auto"/>
            <w:bottom w:val="none" w:sz="0" w:space="0" w:color="auto"/>
            <w:right w:val="none" w:sz="0" w:space="0" w:color="auto"/>
          </w:divBdr>
          <w:divsChild>
            <w:div w:id="7094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21981">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442774791">
      <w:bodyDiv w:val="1"/>
      <w:marLeft w:val="0"/>
      <w:marRight w:val="0"/>
      <w:marTop w:val="0"/>
      <w:marBottom w:val="0"/>
      <w:divBdr>
        <w:top w:val="none" w:sz="0" w:space="0" w:color="auto"/>
        <w:left w:val="none" w:sz="0" w:space="0" w:color="auto"/>
        <w:bottom w:val="none" w:sz="0" w:space="0" w:color="auto"/>
        <w:right w:val="none" w:sz="0" w:space="0" w:color="auto"/>
      </w:divBdr>
    </w:div>
    <w:div w:id="983583638">
      <w:bodyDiv w:val="1"/>
      <w:marLeft w:val="0"/>
      <w:marRight w:val="0"/>
      <w:marTop w:val="0"/>
      <w:marBottom w:val="0"/>
      <w:divBdr>
        <w:top w:val="none" w:sz="0" w:space="0" w:color="auto"/>
        <w:left w:val="none" w:sz="0" w:space="0" w:color="auto"/>
        <w:bottom w:val="none" w:sz="0" w:space="0" w:color="auto"/>
        <w:right w:val="none" w:sz="0" w:space="0" w:color="auto"/>
      </w:divBdr>
      <w:divsChild>
        <w:div w:id="1869220829">
          <w:marLeft w:val="0"/>
          <w:marRight w:val="0"/>
          <w:marTop w:val="0"/>
          <w:marBottom w:val="0"/>
          <w:divBdr>
            <w:top w:val="none" w:sz="0" w:space="0" w:color="auto"/>
            <w:left w:val="none" w:sz="0" w:space="0" w:color="auto"/>
            <w:bottom w:val="none" w:sz="0" w:space="0" w:color="auto"/>
            <w:right w:val="none" w:sz="0" w:space="0" w:color="auto"/>
          </w:divBdr>
          <w:divsChild>
            <w:div w:id="587618927">
              <w:marLeft w:val="0"/>
              <w:marRight w:val="0"/>
              <w:marTop w:val="0"/>
              <w:marBottom w:val="0"/>
              <w:divBdr>
                <w:top w:val="none" w:sz="0" w:space="0" w:color="auto"/>
                <w:left w:val="none" w:sz="0" w:space="0" w:color="auto"/>
                <w:bottom w:val="none" w:sz="0" w:space="0" w:color="auto"/>
                <w:right w:val="none" w:sz="0" w:space="0" w:color="auto"/>
              </w:divBdr>
              <w:divsChild>
                <w:div w:id="878710536">
                  <w:marLeft w:val="0"/>
                  <w:marRight w:val="0"/>
                  <w:marTop w:val="0"/>
                  <w:marBottom w:val="0"/>
                  <w:divBdr>
                    <w:top w:val="none" w:sz="0" w:space="0" w:color="auto"/>
                    <w:left w:val="none" w:sz="0" w:space="0" w:color="auto"/>
                    <w:bottom w:val="none" w:sz="0" w:space="0" w:color="auto"/>
                    <w:right w:val="none" w:sz="0" w:space="0" w:color="auto"/>
                  </w:divBdr>
                  <w:divsChild>
                    <w:div w:id="1806003549">
                      <w:marLeft w:val="0"/>
                      <w:marRight w:val="0"/>
                      <w:marTop w:val="0"/>
                      <w:marBottom w:val="0"/>
                      <w:divBdr>
                        <w:top w:val="none" w:sz="0" w:space="0" w:color="auto"/>
                        <w:left w:val="none" w:sz="0" w:space="0" w:color="auto"/>
                        <w:bottom w:val="none" w:sz="0" w:space="0" w:color="auto"/>
                        <w:right w:val="none" w:sz="0" w:space="0" w:color="auto"/>
                      </w:divBdr>
                      <w:divsChild>
                        <w:div w:id="1746956839">
                          <w:marLeft w:val="0"/>
                          <w:marRight w:val="0"/>
                          <w:marTop w:val="0"/>
                          <w:marBottom w:val="0"/>
                          <w:divBdr>
                            <w:top w:val="none" w:sz="0" w:space="0" w:color="auto"/>
                            <w:left w:val="none" w:sz="0" w:space="0" w:color="auto"/>
                            <w:bottom w:val="none" w:sz="0" w:space="0" w:color="auto"/>
                            <w:right w:val="none" w:sz="0" w:space="0" w:color="auto"/>
                          </w:divBdr>
                          <w:divsChild>
                            <w:div w:id="750274774">
                              <w:marLeft w:val="0"/>
                              <w:marRight w:val="0"/>
                              <w:marTop w:val="0"/>
                              <w:marBottom w:val="0"/>
                              <w:divBdr>
                                <w:top w:val="none" w:sz="0" w:space="0" w:color="auto"/>
                                <w:left w:val="none" w:sz="0" w:space="0" w:color="auto"/>
                                <w:bottom w:val="none" w:sz="0" w:space="0" w:color="auto"/>
                                <w:right w:val="none" w:sz="0" w:space="0" w:color="auto"/>
                              </w:divBdr>
                              <w:divsChild>
                                <w:div w:id="817964339">
                                  <w:marLeft w:val="0"/>
                                  <w:marRight w:val="0"/>
                                  <w:marTop w:val="0"/>
                                  <w:marBottom w:val="0"/>
                                  <w:divBdr>
                                    <w:top w:val="none" w:sz="0" w:space="0" w:color="auto"/>
                                    <w:left w:val="none" w:sz="0" w:space="0" w:color="auto"/>
                                    <w:bottom w:val="none" w:sz="0" w:space="0" w:color="auto"/>
                                    <w:right w:val="none" w:sz="0" w:space="0" w:color="auto"/>
                                  </w:divBdr>
                                  <w:divsChild>
                                    <w:div w:id="872032877">
                                      <w:marLeft w:val="-225"/>
                                      <w:marRight w:val="-225"/>
                                      <w:marTop w:val="0"/>
                                      <w:marBottom w:val="0"/>
                                      <w:divBdr>
                                        <w:top w:val="none" w:sz="0" w:space="0" w:color="auto"/>
                                        <w:left w:val="none" w:sz="0" w:space="0" w:color="auto"/>
                                        <w:bottom w:val="none" w:sz="0" w:space="0" w:color="auto"/>
                                        <w:right w:val="none" w:sz="0" w:space="0" w:color="auto"/>
                                      </w:divBdr>
                                      <w:divsChild>
                                        <w:div w:id="476071565">
                                          <w:marLeft w:val="0"/>
                                          <w:marRight w:val="0"/>
                                          <w:marTop w:val="0"/>
                                          <w:marBottom w:val="0"/>
                                          <w:divBdr>
                                            <w:top w:val="none" w:sz="0" w:space="0" w:color="auto"/>
                                            <w:left w:val="none" w:sz="0" w:space="0" w:color="auto"/>
                                            <w:bottom w:val="none" w:sz="0" w:space="0" w:color="auto"/>
                                            <w:right w:val="none" w:sz="0" w:space="0" w:color="auto"/>
                                          </w:divBdr>
                                          <w:divsChild>
                                            <w:div w:id="1325620825">
                                              <w:marLeft w:val="0"/>
                                              <w:marRight w:val="0"/>
                                              <w:marTop w:val="0"/>
                                              <w:marBottom w:val="0"/>
                                              <w:divBdr>
                                                <w:top w:val="none" w:sz="0" w:space="0" w:color="auto"/>
                                                <w:left w:val="none" w:sz="0" w:space="0" w:color="auto"/>
                                                <w:bottom w:val="none" w:sz="0" w:space="0" w:color="auto"/>
                                                <w:right w:val="none" w:sz="0" w:space="0" w:color="auto"/>
                                              </w:divBdr>
                                              <w:divsChild>
                                                <w:div w:id="2114591604">
                                                  <w:marLeft w:val="0"/>
                                                  <w:marRight w:val="0"/>
                                                  <w:marTop w:val="0"/>
                                                  <w:marBottom w:val="0"/>
                                                  <w:divBdr>
                                                    <w:top w:val="none" w:sz="0" w:space="0" w:color="auto"/>
                                                    <w:left w:val="none" w:sz="0" w:space="0" w:color="auto"/>
                                                    <w:bottom w:val="none" w:sz="0" w:space="0" w:color="auto"/>
                                                    <w:right w:val="none" w:sz="0" w:space="0" w:color="auto"/>
                                                  </w:divBdr>
                                                  <w:divsChild>
                                                    <w:div w:id="1818911354">
                                                      <w:marLeft w:val="0"/>
                                                      <w:marRight w:val="0"/>
                                                      <w:marTop w:val="0"/>
                                                      <w:marBottom w:val="0"/>
                                                      <w:divBdr>
                                                        <w:top w:val="none" w:sz="0" w:space="0" w:color="auto"/>
                                                        <w:left w:val="none" w:sz="0" w:space="0" w:color="auto"/>
                                                        <w:bottom w:val="none" w:sz="0" w:space="0" w:color="auto"/>
                                                        <w:right w:val="none" w:sz="0" w:space="0" w:color="auto"/>
                                                      </w:divBdr>
                                                      <w:divsChild>
                                                        <w:div w:id="60638225">
                                                          <w:marLeft w:val="0"/>
                                                          <w:marRight w:val="0"/>
                                                          <w:marTop w:val="0"/>
                                                          <w:marBottom w:val="0"/>
                                                          <w:divBdr>
                                                            <w:top w:val="none" w:sz="0" w:space="0" w:color="auto"/>
                                                            <w:left w:val="none" w:sz="0" w:space="0" w:color="auto"/>
                                                            <w:bottom w:val="none" w:sz="0" w:space="0" w:color="auto"/>
                                                            <w:right w:val="none" w:sz="0" w:space="0" w:color="auto"/>
                                                          </w:divBdr>
                                                          <w:divsChild>
                                                            <w:div w:id="789477841">
                                                              <w:marLeft w:val="0"/>
                                                              <w:marRight w:val="0"/>
                                                              <w:marTop w:val="0"/>
                                                              <w:marBottom w:val="0"/>
                                                              <w:divBdr>
                                                                <w:top w:val="none" w:sz="0" w:space="0" w:color="auto"/>
                                                                <w:left w:val="none" w:sz="0" w:space="0" w:color="auto"/>
                                                                <w:bottom w:val="none" w:sz="0" w:space="0" w:color="auto"/>
                                                                <w:right w:val="none" w:sz="0" w:space="0" w:color="auto"/>
                                                              </w:divBdr>
                                                              <w:divsChild>
                                                                <w:div w:id="332412049">
                                                                  <w:marLeft w:val="0"/>
                                                                  <w:marRight w:val="0"/>
                                                                  <w:marTop w:val="150"/>
                                                                  <w:marBottom w:val="0"/>
                                                                  <w:divBdr>
                                                                    <w:top w:val="single" w:sz="6" w:space="15" w:color="CCCCCC"/>
                                                                    <w:left w:val="none" w:sz="0" w:space="0" w:color="auto"/>
                                                                    <w:bottom w:val="none" w:sz="0" w:space="0" w:color="auto"/>
                                                                    <w:right w:val="none" w:sz="0" w:space="0" w:color="auto"/>
                                                                  </w:divBdr>
                                                                  <w:divsChild>
                                                                    <w:div w:id="1004825905">
                                                                      <w:marLeft w:val="0"/>
                                                                      <w:marRight w:val="0"/>
                                                                      <w:marTop w:val="0"/>
                                                                      <w:marBottom w:val="0"/>
                                                                      <w:divBdr>
                                                                        <w:top w:val="none" w:sz="0" w:space="0" w:color="auto"/>
                                                                        <w:left w:val="none" w:sz="0" w:space="0" w:color="auto"/>
                                                                        <w:bottom w:val="none" w:sz="0" w:space="0" w:color="auto"/>
                                                                        <w:right w:val="none" w:sz="0" w:space="0" w:color="auto"/>
                                                                      </w:divBdr>
                                                                      <w:divsChild>
                                                                        <w:div w:id="8741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503930289">
      <w:bodyDiv w:val="1"/>
      <w:marLeft w:val="0"/>
      <w:marRight w:val="0"/>
      <w:marTop w:val="0"/>
      <w:marBottom w:val="0"/>
      <w:divBdr>
        <w:top w:val="none" w:sz="0" w:space="0" w:color="auto"/>
        <w:left w:val="none" w:sz="0" w:space="0" w:color="auto"/>
        <w:bottom w:val="none" w:sz="0" w:space="0" w:color="auto"/>
        <w:right w:val="none" w:sz="0" w:space="0" w:color="auto"/>
      </w:divBdr>
    </w:div>
    <w:div w:id="1666199604">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tudy.vic.gov.au/en/how-to-apply/Pages/default.aspx" TargetMode="External"/><Relationship Id="rId18" Type="http://schemas.openxmlformats.org/officeDocument/2006/relationships/hyperlink" Target="https://www.study.vic.gov.au/Shared%20Documents/en/School_Toolkit/ISP_Department_Initiated_Suspension_and_Cancellation_Policy.docx" TargetMode="External"/><Relationship Id="rId26" Type="http://schemas.openxmlformats.org/officeDocument/2006/relationships/hyperlink" Target="https://www.study.vic.gov.au/Shared%20Documents/en/School_Toolkit/ISP_Accommodation_and_Welfare_Policy.docx" TargetMode="External"/><Relationship Id="rId39" Type="http://schemas.openxmlformats.org/officeDocument/2006/relationships/hyperlink" Target="https://www.study.vic.gov.au/Shared%20Documents/en/School_Toolkit/ISP_Course_Credit_Policy.docx" TargetMode="External"/><Relationship Id="rId21" Type="http://schemas.openxmlformats.org/officeDocument/2006/relationships/hyperlink" Target="http://www.health.gov.au" TargetMode="External"/><Relationship Id="rId34" Type="http://schemas.openxmlformats.org/officeDocument/2006/relationships/hyperlink" Target="https://www.study.vic.gov.au/Shared%20Documents/en/School_Toolkit/ISP_Visa_Fee_Table.docx" TargetMode="External"/><Relationship Id="rId42" Type="http://schemas.openxmlformats.org/officeDocument/2006/relationships/hyperlink" Target="https://www.study.vic.gov.au/en/brochures-and-forms/Pages/BrochureForms.aspx" TargetMode="External"/><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immi.homeaffairs.gov.au/visas/getting-a-visa/visa-listing/student-500" TargetMode="External"/><Relationship Id="rId29" Type="http://schemas.openxmlformats.org/officeDocument/2006/relationships/hyperlink" Target="https://www.vic.gov.au/school-term-dates-and-holidays-victoria?Redirect=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tudy.vic.gov.au/Shared%20Documents/en/School_Toolkit/ISP_Homestay_Policy.docx" TargetMode="External"/><Relationship Id="rId32" Type="http://schemas.openxmlformats.org/officeDocument/2006/relationships/hyperlink" Target="https://www.study.vic.gov.au/en/brochures-and-forms/Pages/BrochureForms.aspx" TargetMode="External"/><Relationship Id="rId37" Type="http://schemas.openxmlformats.org/officeDocument/2006/relationships/hyperlink" Target="https://www.study.vic.gov.au/Shared%20Documents/en/School_Toolkit/ISP_Homestay_Procedure.docx" TargetMode="External"/><Relationship Id="rId40" Type="http://schemas.openxmlformats.org/officeDocument/2006/relationships/hyperlink" Target="https://www.study.vic.gov.au/Shared%20Documents/en/School_Toolkit/ISP_Complaints_and_Appeals_Policy.docx" TargetMode="Externa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study.vic.gov.au/Shared%20Documents/en/School_Toolkit/ISP_Education_Agent_Engagement_Policy.docx" TargetMode="External"/><Relationship Id="rId23" Type="http://schemas.openxmlformats.org/officeDocument/2006/relationships/hyperlink" Target="mailto:international@education.vic.gov.au" TargetMode="External"/><Relationship Id="rId28" Type="http://schemas.openxmlformats.org/officeDocument/2006/relationships/hyperlink" Target="https://www.study.vic.gov.au/Shared%20Documents/en/School_Toolkit/ISP_Course_Credit_Policy.docx" TargetMode="External"/><Relationship Id="rId36" Type="http://schemas.openxmlformats.org/officeDocument/2006/relationships/hyperlink" Target="https://www.study.vic.gov.au/Shared%20Documents/en/School_Toolkit/ISP_Homestay_Policy.docx" TargetMode="External"/><Relationship Id="rId10" Type="http://schemas.openxmlformats.org/officeDocument/2006/relationships/footnotes" Target="footnotes.xml"/><Relationship Id="rId19" Type="http://schemas.openxmlformats.org/officeDocument/2006/relationships/hyperlink" Target="http://vcass.vic.edu.au/" TargetMode="External"/><Relationship Id="rId31" Type="http://schemas.openxmlformats.org/officeDocument/2006/relationships/hyperlink" Target="https://www.study.vic.gov.au/Shared%20Documents/en/School_Toolkit/ISP_Admissions_and_Enrolment_Procedure.docx"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tudy.vic.gov.au/Shared%20Documents/en/School_Toolkit/ISP_Admissions_and_Enrolment_Procedure.docx" TargetMode="External"/><Relationship Id="rId22" Type="http://schemas.openxmlformats.org/officeDocument/2006/relationships/hyperlink" Target="http://www.homeaffairs.gov.au" TargetMode="External"/><Relationship Id="rId27" Type="http://schemas.openxmlformats.org/officeDocument/2006/relationships/hyperlink" Target="https://www.study.vic.gov.au/Shared%20Documents/en/School_Toolkit/ISP_Complaints_and_Appeals_Policy.docx" TargetMode="External"/><Relationship Id="rId30" Type="http://schemas.openxmlformats.org/officeDocument/2006/relationships/hyperlink" Target="https://study.vic.gov.au/en/brochures-and-forms/Pages/BrochureForms.aspx" TargetMode="External"/><Relationship Id="rId35" Type="http://schemas.openxmlformats.org/officeDocument/2006/relationships/hyperlink" Target="https://www.study.vic.gov.au/Shared%20Documents/en/School_Toolkit/ISP_Education_Agent_Engagement_Policy.docx" TargetMode="External"/><Relationship Id="rId43" Type="http://schemas.openxmlformats.org/officeDocument/2006/relationships/hyperlink" Target="file:///C:/Users/Anne-Maree%20Crivelli/AppData/Local/Microsoft/Windows/INetCache/Content.Outlook/TIKSJV95/international@education.vic.gov.au" TargetMode="External"/><Relationship Id="rId48" Type="http://schemas.openxmlformats.org/officeDocument/2006/relationships/theme" Target="theme/theme1.xml"/><Relationship Id="rId8" Type="http://schemas.openxmlformats.org/officeDocument/2006/relationships/settings" Target="settings.xml"/><Relationship Id="rId12" Type="http://schemas.openxmlformats.org/officeDocument/2006/relationships/hyperlink" Target="https://www.study.vic.gov.au/Shared%20Documents/en/School_Toolkit/ISP_Admissions_and_Enrolment_Procedure.docx" TargetMode="External"/><Relationship Id="rId17" Type="http://schemas.openxmlformats.org/officeDocument/2006/relationships/hyperlink" Target="https://www2.education.vic.gov.au/pal/enrolment/policy" TargetMode="External"/><Relationship Id="rId25" Type="http://schemas.openxmlformats.org/officeDocument/2006/relationships/hyperlink" Target="https://www.study.vic.gov.au/Shared%20Documents/en/School_Toolkit/ISP_Homestay_Procedure.docx" TargetMode="External"/><Relationship Id="rId33" Type="http://schemas.openxmlformats.org/officeDocument/2006/relationships/hyperlink" Target="https://www.study.vic.gov.au/en/brochures-and-forms/Pages/BrochureForms.aspx" TargetMode="External"/><Relationship Id="rId38" Type="http://schemas.openxmlformats.org/officeDocument/2006/relationships/hyperlink" Target="https://www.study.vic.gov.au/Shared%20Documents/en/School_Toolkit/ISP_Accommodation_and_Welfare_Policy.docx" TargetMode="External"/><Relationship Id="rId46" Type="http://schemas.openxmlformats.org/officeDocument/2006/relationships/footer" Target="footer2.xml"/><Relationship Id="rId20" Type="http://schemas.openxmlformats.org/officeDocument/2006/relationships/hyperlink" Target="https://www.study.vic.gov.au/Shared%20Documents/en/School_Toolkit/ISP_Admissions_and_Enrolment_Procedure.docx" TargetMode="External"/><Relationship Id="rId41" Type="http://schemas.openxmlformats.org/officeDocument/2006/relationships/hyperlink" Target="https://www2.education.vic.gov.au/pal/enrolment/poli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AB1ACF-0A4D-48C8-B433-7C5A9195E24F}">
  <ds:schemaRefs>
    <ds:schemaRef ds:uri="http://schemas.openxmlformats.org/officeDocument/2006/bibliography"/>
  </ds:schemaRefs>
</ds:datastoreItem>
</file>

<file path=customXml/itemProps2.xml><?xml version="1.0" encoding="utf-8"?>
<ds:datastoreItem xmlns:ds="http://schemas.openxmlformats.org/officeDocument/2006/customXml" ds:itemID="{9F4555E4-C0DA-43C3-AC0E-38E17B76319D}">
  <ds:schemaRefs>
    <ds:schemaRef ds:uri="http://schemas.microsoft.com/sharepoint/v3/contenttype/forms"/>
  </ds:schemaRefs>
</ds:datastoreItem>
</file>

<file path=customXml/itemProps3.xml><?xml version="1.0" encoding="utf-8"?>
<ds:datastoreItem xmlns:ds="http://schemas.openxmlformats.org/officeDocument/2006/customXml" ds:itemID="{B1ADEEAA-8260-40E5-9A05-91E67B49555A}">
  <ds:schemaRefs>
    <ds:schemaRef ds:uri="http://schemas.microsoft.com/sharepoint/events"/>
  </ds:schemaRefs>
</ds:datastoreItem>
</file>

<file path=customXml/itemProps4.xml><?xml version="1.0" encoding="utf-8"?>
<ds:datastoreItem xmlns:ds="http://schemas.openxmlformats.org/officeDocument/2006/customXml" ds:itemID="{348280D4-926A-461E-93AF-CF97E319C01E}"/>
</file>

<file path=customXml/itemProps5.xml><?xml version="1.0" encoding="utf-8"?>
<ds:datastoreItem xmlns:ds="http://schemas.openxmlformats.org/officeDocument/2006/customXml" ds:itemID="{394D6040-EEA8-4C2D-B238-3D03427AD2FB}">
  <ds:schemaRefs>
    <ds:schemaRef ds:uri="http://www.w3.org/XML/1998/namespace"/>
    <ds:schemaRef ds:uri="http://schemas.microsoft.com/office/2006/metadata/properties"/>
    <ds:schemaRef ds:uri="http://purl.org/dc/dcmitype/"/>
    <ds:schemaRef ds:uri="48d741e2-8e2c-417b-b700-80de02d16da7"/>
    <ds:schemaRef ds:uri="http://purl.org/dc/elements/1.1/"/>
    <ds:schemaRef ds:uri="513f30e4-ef4b-4508-a67c-1eb14ef752dd"/>
    <ds:schemaRef ds:uri="http://schemas.microsoft.com/office/2006/documentManagement/types"/>
    <ds:schemaRef ds:uri="http://schemas.microsoft.com/Sharepoint/v3"/>
    <ds:schemaRef ds:uri="http://purl.org/dc/terms/"/>
    <ds:schemaRef ds:uri="http://schemas.microsoft.com/office/infopath/2007/PartnerControl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IED Letterhead.dotx</Template>
  <TotalTime>3</TotalTime>
  <Pages>7</Pages>
  <Words>3888</Words>
  <Characters>22162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25999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Yurovich, Melonie L</dc:creator>
  <cp:lastModifiedBy>Anthony Raso</cp:lastModifiedBy>
  <cp:revision>4</cp:revision>
  <cp:lastPrinted>2019-08-14T05:34:00Z</cp:lastPrinted>
  <dcterms:created xsi:type="dcterms:W3CDTF">2024-02-21T03:05:00Z</dcterms:created>
  <dcterms:modified xsi:type="dcterms:W3CDTF">2024-02-21T03:07:00Z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SubmissionDate">
    <vt:lpwstr/>
  </property>
  <property fmtid="{D5CDD505-2E9C-101B-9397-08002B2CF9AE}" pid="8" name="RecordPoint_ActiveItemMoved">
    <vt:lpwstr/>
  </property>
  <property fmtid="{D5CDD505-2E9C-101B-9397-08002B2CF9AE}" pid="9" name="RecordPoint_RecordFormat">
    <vt:lpwstr/>
  </property>
  <property fmtid="{D5CDD505-2E9C-101B-9397-08002B2CF9AE}" pid="10" name="_docset_NoMedatataSyncRequired">
    <vt:lpwstr>False</vt:lpwstr>
  </property>
  <property fmtid="{D5CDD505-2E9C-101B-9397-08002B2CF9AE}" pid="11" name="DET_EDRMS_BusUnitTaxHTField0">
    <vt:lpwstr/>
  </property>
  <property fmtid="{D5CDD505-2E9C-101B-9397-08002B2CF9AE}" pid="12" name="DET_EDRMS_SecClassTaxHTField0">
    <vt:lpwstr/>
  </property>
  <property fmtid="{D5CDD505-2E9C-101B-9397-08002B2CF9AE}" pid="13" name="RecordPoint_ActiveItemListId">
    <vt:lpwstr>{513f30e4-ef4b-4508-a67c-1eb14ef752dd}</vt:lpwstr>
  </property>
  <property fmtid="{D5CDD505-2E9C-101B-9397-08002B2CF9AE}" pid="14" name="RecordPoint_ActiveItemUniqueId">
    <vt:lpwstr>{767c0232-6971-47ac-9b8a-97bc88c8dca4}</vt:lpwstr>
  </property>
  <property fmtid="{D5CDD505-2E9C-101B-9397-08002B2CF9AE}" pid="15" name="RecordPoint_ActiveItemWebId">
    <vt:lpwstr>{48d741e2-8e2c-417b-b700-80de02d16da7}</vt:lpwstr>
  </property>
  <property fmtid="{D5CDD505-2E9C-101B-9397-08002B2CF9AE}" pid="16" name="RecordPoint_ActiveItemSiteId">
    <vt:lpwstr>{ed3229f2-c7d2-4425-947a-a8336c24a50d}</vt:lpwstr>
  </property>
  <property fmtid="{D5CDD505-2E9C-101B-9397-08002B2CF9AE}" pid="17" name="RecordPoint_RecordNumberSubmitted">
    <vt:lpwstr>R20240616566</vt:lpwstr>
  </property>
  <property fmtid="{D5CDD505-2E9C-101B-9397-08002B2CF9AE}" pid="18" name="DET_EDRMS_RCSTaxHTField0">
    <vt:lpwstr/>
  </property>
  <property fmtid="{D5CDD505-2E9C-101B-9397-08002B2CF9AE}" pid="19" name="RecordPoint_SubmissionCompleted">
    <vt:lpwstr>2024-02-15T09:06:51.8543420+11:00</vt:lpwstr>
  </property>
</Properties>
</file>