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9DC5" w14:textId="77777777" w:rsidR="00EE321A" w:rsidRPr="0020201E" w:rsidRDefault="00EE321A" w:rsidP="00315318">
      <w:pPr>
        <w:pStyle w:val="BodyText"/>
      </w:pPr>
    </w:p>
    <w:p w14:paraId="78B6724B" w14:textId="77777777" w:rsidR="00EE321A" w:rsidRPr="007B1E88" w:rsidRDefault="00EE321A" w:rsidP="00EE321A">
      <w:pPr>
        <w:rPr>
          <w:sz w:val="28"/>
          <w:szCs w:val="28"/>
        </w:rPr>
      </w:pPr>
    </w:p>
    <w:p w14:paraId="0A4B9E63" w14:textId="77777777" w:rsidR="0091104F" w:rsidRDefault="0091104F" w:rsidP="00315318">
      <w:pPr>
        <w:pStyle w:val="BodyText"/>
      </w:pPr>
    </w:p>
    <w:p w14:paraId="1207E840" w14:textId="77777777" w:rsidR="005E1A66" w:rsidRDefault="005E1A66" w:rsidP="00804578">
      <w:pPr>
        <w:pStyle w:val="BodyText"/>
      </w:pPr>
      <w:bookmarkStart w:id="0" w:name="_Toc489966473"/>
      <w:bookmarkStart w:id="1" w:name="_Toc489972311"/>
    </w:p>
    <w:p w14:paraId="5465A023" w14:textId="3F89CF92" w:rsidR="00352A6B" w:rsidRPr="00BB03AC" w:rsidRDefault="0041600D" w:rsidP="0041600D">
      <w:pPr>
        <w:pStyle w:val="Heading1"/>
      </w:pPr>
      <w:r w:rsidRPr="00BB03AC">
        <w:t>ISP Accommodation and Welfare Policy</w:t>
      </w:r>
      <w:r w:rsidR="001C725A" w:rsidRPr="00BB03AC">
        <w:tab/>
      </w:r>
    </w:p>
    <w:p w14:paraId="59BD4417" w14:textId="77777777" w:rsidR="00533AA2" w:rsidRPr="00BB03AC" w:rsidRDefault="00533AA2" w:rsidP="00533AA2">
      <w:pPr>
        <w:pStyle w:val="Heading2"/>
      </w:pPr>
      <w:r w:rsidRPr="00BB03AC">
        <w:t>Purpose</w:t>
      </w:r>
    </w:p>
    <w:p w14:paraId="446DA9ED" w14:textId="572E830B" w:rsidR="002E3BC2" w:rsidRDefault="0041600D" w:rsidP="002E3BC2">
      <w:pPr>
        <w:pStyle w:val="BodyText"/>
        <w:spacing w:before="240"/>
      </w:pPr>
      <w:r w:rsidRPr="00BB03AC">
        <w:t xml:space="preserve">This policy outlines </w:t>
      </w:r>
      <w:r w:rsidR="0072291D">
        <w:t>the obligations of the Department of Education (the department)’s International Education Division (IED) under</w:t>
      </w:r>
      <w:r w:rsidR="002E3BC2" w:rsidRPr="00BB03AC">
        <w:t xml:space="preserve"> the </w:t>
      </w:r>
      <w:r w:rsidR="002E3BC2" w:rsidRPr="00BB03AC">
        <w:rPr>
          <w:i/>
        </w:rPr>
        <w:t xml:space="preserve">National Code of Practice for Providers of Education and Training to Overseas Students 2018 </w:t>
      </w:r>
      <w:r w:rsidR="002E3BC2" w:rsidRPr="00BB03AC">
        <w:t>(</w:t>
      </w:r>
      <w:proofErr w:type="spellStart"/>
      <w:r w:rsidR="002E3BC2" w:rsidRPr="00BB03AC">
        <w:t>Cth</w:t>
      </w:r>
      <w:proofErr w:type="spellEnd"/>
      <w:r w:rsidR="002E3BC2" w:rsidRPr="00BB03AC">
        <w:t>) (National Code)</w:t>
      </w:r>
      <w:r w:rsidR="00727F7E" w:rsidRPr="00BB03AC">
        <w:t xml:space="preserve"> and </w:t>
      </w:r>
      <w:r w:rsidR="002E3BC2" w:rsidRPr="00BB03AC">
        <w:t>the role</w:t>
      </w:r>
      <w:r w:rsidR="00DC7292" w:rsidRPr="00BB03AC">
        <w:t xml:space="preserve"> of DE (IED) and</w:t>
      </w:r>
      <w:r w:rsidR="002E3BC2" w:rsidRPr="00BB03AC">
        <w:t xml:space="preserve"> of </w:t>
      </w:r>
      <w:r w:rsidRPr="00BB03AC">
        <w:t>school staff</w:t>
      </w:r>
      <w:r w:rsidR="00727F7E" w:rsidRPr="00BB03AC">
        <w:t xml:space="preserve"> </w:t>
      </w:r>
      <w:r w:rsidRPr="00BB03AC">
        <w:t xml:space="preserve">in </w:t>
      </w:r>
      <w:r w:rsidR="002E3BC2" w:rsidRPr="00BB03AC">
        <w:t xml:space="preserve">the provision of </w:t>
      </w:r>
      <w:r w:rsidRPr="00BB03AC">
        <w:t>accommodation and welfare</w:t>
      </w:r>
      <w:r w:rsidR="002E3BC2" w:rsidRPr="00BB03AC">
        <w:t xml:space="preserve"> to international students</w:t>
      </w:r>
      <w:r w:rsidRPr="00BB03AC">
        <w:t>.</w:t>
      </w:r>
    </w:p>
    <w:p w14:paraId="62D4F75A" w14:textId="3CE67717" w:rsidR="002E3BC2" w:rsidRDefault="002E3BC2" w:rsidP="002E3BC2">
      <w:pPr>
        <w:pStyle w:val="BodyText"/>
      </w:pPr>
      <w:proofErr w:type="gramStart"/>
      <w:r w:rsidRPr="00324F16">
        <w:t>For the purpose of</w:t>
      </w:r>
      <w:proofErr w:type="gramEnd"/>
      <w:r w:rsidRPr="00324F16">
        <w:t xml:space="preserve"> this policy</w:t>
      </w:r>
      <w:r>
        <w:t>, international students (students)</w:t>
      </w:r>
      <w:r w:rsidRPr="00324F16">
        <w:t xml:space="preserve"> are defined as st</w:t>
      </w:r>
      <w:r>
        <w:t>udents participating in the Internationa</w:t>
      </w:r>
      <w:r w:rsidR="00D2796F">
        <w:t>l Student Program (ISP) under</w:t>
      </w:r>
      <w:r>
        <w:t xml:space="preserve"> </w:t>
      </w:r>
      <w:r w:rsidRPr="00324F16">
        <w:t>a subclass 500 Student – Schools visa</w:t>
      </w:r>
      <w:r>
        <w:t>.</w:t>
      </w:r>
    </w:p>
    <w:p w14:paraId="4C747D87" w14:textId="77777777" w:rsidR="009A20EC" w:rsidRDefault="009A20EC" w:rsidP="009A20EC">
      <w:pPr>
        <w:pStyle w:val="Heading2"/>
      </w:pPr>
      <w:r>
        <w:t>Scope</w:t>
      </w:r>
    </w:p>
    <w:p w14:paraId="73E4F3B4" w14:textId="6BFECF16" w:rsidR="00FC645D" w:rsidRPr="00BB03AC" w:rsidRDefault="00FC645D" w:rsidP="0041600D">
      <w:pPr>
        <w:pStyle w:val="BodyText"/>
      </w:pPr>
      <w:r w:rsidRPr="00BB03AC">
        <w:t>This policy applies to all students enrolled in the ISP.</w:t>
      </w:r>
    </w:p>
    <w:p w14:paraId="32A949A0" w14:textId="68BB48CE" w:rsidR="005D3A7F" w:rsidRPr="00BB03AC" w:rsidRDefault="0041600D" w:rsidP="0041600D">
      <w:pPr>
        <w:pStyle w:val="BodyText"/>
      </w:pPr>
      <w:r w:rsidRPr="00BB03AC">
        <w:t>Students enrolled</w:t>
      </w:r>
      <w:r w:rsidR="002E3BC2" w:rsidRPr="00BB03AC">
        <w:t xml:space="preserve"> in the </w:t>
      </w:r>
      <w:r w:rsidRPr="00BB03AC">
        <w:t>ISP</w:t>
      </w:r>
      <w:r w:rsidR="002E3BC2" w:rsidRPr="00BB03AC">
        <w:t xml:space="preserve"> </w:t>
      </w:r>
      <w:r w:rsidR="005D3A7F" w:rsidRPr="00BB03AC">
        <w:t>under the age of 18 must live:</w:t>
      </w:r>
    </w:p>
    <w:p w14:paraId="2CFBB38F" w14:textId="543C3355" w:rsidR="005D3A7F" w:rsidRPr="00BB03AC" w:rsidRDefault="002E3BC2" w:rsidP="00326383">
      <w:pPr>
        <w:pStyle w:val="ListBullet"/>
      </w:pPr>
      <w:r w:rsidRPr="00BB03AC">
        <w:t>w</w:t>
      </w:r>
      <w:r w:rsidR="005D3A7F" w:rsidRPr="00BB03AC">
        <w:t xml:space="preserve">ith a parent/legal guardian or a </w:t>
      </w:r>
      <w:r w:rsidR="00BF0B35" w:rsidRPr="00BB03AC">
        <w:t>Department of Home Affairs</w:t>
      </w:r>
      <w:r w:rsidR="00BF0B35" w:rsidRPr="00804378">
        <w:t xml:space="preserve"> </w:t>
      </w:r>
      <w:r w:rsidR="001F1231" w:rsidRPr="00BB03AC">
        <w:t>(</w:t>
      </w:r>
      <w:r w:rsidR="005D3A7F" w:rsidRPr="00BB03AC">
        <w:t>DHA</w:t>
      </w:r>
      <w:r w:rsidR="001F1231" w:rsidRPr="00BB03AC">
        <w:t>)</w:t>
      </w:r>
      <w:r w:rsidR="001C001C" w:rsidRPr="00BB03AC">
        <w:t>-</w:t>
      </w:r>
      <w:r w:rsidR="005D3A7F" w:rsidRPr="00BB03AC">
        <w:t>approved relative; or</w:t>
      </w:r>
    </w:p>
    <w:p w14:paraId="56AB2EF6" w14:textId="2E6630B0" w:rsidR="005D3A7F" w:rsidRPr="00BB03AC" w:rsidRDefault="002E3BC2" w:rsidP="00326383">
      <w:pPr>
        <w:pStyle w:val="ListBullet"/>
      </w:pPr>
      <w:r w:rsidRPr="00BB03AC">
        <w:t>i</w:t>
      </w:r>
      <w:r w:rsidR="005D3A7F" w:rsidRPr="00BB03AC">
        <w:t>n a DE</w:t>
      </w:r>
      <w:r w:rsidR="00C74600" w:rsidRPr="00BB03AC">
        <w:t>-</w:t>
      </w:r>
      <w:r w:rsidR="005D3A7F" w:rsidRPr="00BB03AC">
        <w:t>approved homestay provider arrangement</w:t>
      </w:r>
      <w:r w:rsidR="00C74600" w:rsidRPr="00BB03AC">
        <w:t>.</w:t>
      </w:r>
    </w:p>
    <w:p w14:paraId="2B122B74" w14:textId="77672D2C" w:rsidR="004D443C" w:rsidRPr="00BB03AC" w:rsidRDefault="00326383" w:rsidP="00326383">
      <w:pPr>
        <w:pStyle w:val="BodyText"/>
      </w:pPr>
      <w:r w:rsidRPr="00BB03AC">
        <w:t>Where a student under the age of 18 does not live with a parent/legal guardian o</w:t>
      </w:r>
      <w:r w:rsidR="001C001C" w:rsidRPr="00BB03AC">
        <w:t>r a</w:t>
      </w:r>
      <w:r w:rsidRPr="00BB03AC">
        <w:t xml:space="preserve"> DHA-approved relative, DE can approve appropriate accommodation and welfare arrangements </w:t>
      </w:r>
      <w:r w:rsidR="00420B8B" w:rsidRPr="00BB03AC">
        <w:t xml:space="preserve">by </w:t>
      </w:r>
      <w:r w:rsidRPr="00BB03AC">
        <w:t xml:space="preserve">issuing a Confirmation of Appropriate Accommodation and Welfare (CAAW) letter. </w:t>
      </w:r>
      <w:r w:rsidR="001D666D" w:rsidRPr="00BB03AC">
        <w:t xml:space="preserve">Please refer to the </w:t>
      </w:r>
      <w:hyperlink r:id="rId12" w:history="1">
        <w:r w:rsidR="001D666D" w:rsidRPr="00BB03AC">
          <w:rPr>
            <w:rStyle w:val="Hyperlink"/>
          </w:rPr>
          <w:t>ISP Homestay Policy</w:t>
        </w:r>
      </w:hyperlink>
      <w:r w:rsidR="001D666D" w:rsidRPr="00BB03AC">
        <w:t xml:space="preserve"> and </w:t>
      </w:r>
      <w:hyperlink r:id="rId13" w:history="1">
        <w:r w:rsidR="00047508" w:rsidRPr="00BB03AC">
          <w:rPr>
            <w:rStyle w:val="Hyperlink"/>
          </w:rPr>
          <w:t>ISP Homestay Procedure</w:t>
        </w:r>
      </w:hyperlink>
      <w:r w:rsidR="00047508" w:rsidRPr="00BB03AC">
        <w:t xml:space="preserve"> </w:t>
      </w:r>
      <w:r w:rsidR="00C75B05" w:rsidRPr="00BB03AC">
        <w:t xml:space="preserve">for further information regarding </w:t>
      </w:r>
      <w:r w:rsidR="00970CE5" w:rsidRPr="00BB03AC">
        <w:t>homestay arrangements.</w:t>
      </w:r>
    </w:p>
    <w:p w14:paraId="7319D80E" w14:textId="77777777" w:rsidR="009A20EC" w:rsidRPr="00BB03AC" w:rsidRDefault="009A20EC" w:rsidP="0041600D">
      <w:pPr>
        <w:pStyle w:val="Heading2"/>
      </w:pPr>
      <w:r w:rsidRPr="00BB03AC">
        <w:t>Policy</w:t>
      </w:r>
    </w:p>
    <w:p w14:paraId="418285E6" w14:textId="6A98C086" w:rsidR="00A32828" w:rsidRPr="00BB03AC" w:rsidRDefault="001B2030" w:rsidP="00A32828">
      <w:pPr>
        <w:pStyle w:val="Heading3"/>
      </w:pPr>
      <w:r w:rsidRPr="00BB03AC">
        <w:t>Welfare and a</w:t>
      </w:r>
      <w:r w:rsidR="00A32828" w:rsidRPr="00BB03AC">
        <w:t xml:space="preserve">ccommodation </w:t>
      </w:r>
      <w:r w:rsidRPr="00BB03AC">
        <w:t>o</w:t>
      </w:r>
      <w:r w:rsidR="00A32828" w:rsidRPr="00BB03AC">
        <w:t>ptions</w:t>
      </w:r>
    </w:p>
    <w:p w14:paraId="4757A949" w14:textId="77777777" w:rsidR="004D443C" w:rsidRPr="00BB03AC" w:rsidRDefault="004D443C" w:rsidP="004D443C">
      <w:pPr>
        <w:pStyle w:val="BodyText"/>
      </w:pPr>
      <w:r w:rsidRPr="00BB03AC">
        <w:t xml:space="preserve">There are </w:t>
      </w:r>
      <w:r w:rsidRPr="00804378">
        <w:rPr>
          <w:b/>
        </w:rPr>
        <w:t>two categories</w:t>
      </w:r>
      <w:r w:rsidRPr="00BB03AC">
        <w:t xml:space="preserve"> of student accommodation and welfare. These are defined as:</w:t>
      </w:r>
    </w:p>
    <w:p w14:paraId="09064278" w14:textId="595F4BC9" w:rsidR="004D443C" w:rsidRPr="00BB03AC" w:rsidRDefault="004D443C" w:rsidP="004D443C">
      <w:pPr>
        <w:pStyle w:val="BodyText"/>
      </w:pPr>
      <w:r w:rsidRPr="00804378">
        <w:rPr>
          <w:b/>
        </w:rPr>
        <w:t>Non-CAAW students:</w:t>
      </w:r>
      <w:r w:rsidRPr="00BB03AC">
        <w:t xml:space="preserve"> A parent/legal guardian or DHA</w:t>
      </w:r>
      <w:r w:rsidR="00C74600" w:rsidRPr="00BB03AC">
        <w:t>-</w:t>
      </w:r>
      <w:r w:rsidRPr="00BB03AC">
        <w:t>approved relative assumes welfare and accommodation responsibility.</w:t>
      </w:r>
      <w:r w:rsidR="00F571EB" w:rsidRPr="00BB03AC">
        <w:t xml:space="preserve"> The duration of the</w:t>
      </w:r>
      <w:r w:rsidR="00727F7E" w:rsidRPr="00BB03AC">
        <w:t>ir</w:t>
      </w:r>
      <w:r w:rsidR="00F571EB" w:rsidRPr="00BB03AC">
        <w:t xml:space="preserve"> guardian visa must be for the length of the student’s enrolment</w:t>
      </w:r>
      <w:r w:rsidR="002531D8" w:rsidRPr="00BB03AC">
        <w:t xml:space="preserve"> (or until the </w:t>
      </w:r>
      <w:r w:rsidR="001F1231" w:rsidRPr="00BB03AC">
        <w:t>student turns 18 year</w:t>
      </w:r>
      <w:r w:rsidR="00AE05C1" w:rsidRPr="00BB03AC">
        <w:t>s</w:t>
      </w:r>
      <w:r w:rsidR="001F1231" w:rsidRPr="00BB03AC">
        <w:t xml:space="preserve"> old</w:t>
      </w:r>
      <w:r w:rsidR="002531D8" w:rsidRPr="00BB03AC">
        <w:t>)</w:t>
      </w:r>
      <w:r w:rsidR="00F571EB" w:rsidRPr="00BB03AC">
        <w:t xml:space="preserve">. </w:t>
      </w:r>
    </w:p>
    <w:p w14:paraId="5030AD1D" w14:textId="37EB4BB7" w:rsidR="004D443C" w:rsidRPr="00BB03AC" w:rsidRDefault="004D443C" w:rsidP="004D443C">
      <w:pPr>
        <w:pStyle w:val="BodyText"/>
      </w:pPr>
      <w:r w:rsidRPr="00804378">
        <w:rPr>
          <w:b/>
        </w:rPr>
        <w:t>CAAW students:</w:t>
      </w:r>
      <w:r w:rsidRPr="00BB03AC">
        <w:t xml:space="preserve"> DE (IED) assumes welfare and accommodation responsibility.</w:t>
      </w:r>
    </w:p>
    <w:p w14:paraId="766E2239" w14:textId="58C48252" w:rsidR="00A74FA1" w:rsidRDefault="00B13D87" w:rsidP="004D443C">
      <w:pPr>
        <w:pStyle w:val="BodyText"/>
      </w:pPr>
      <w:r w:rsidRPr="00BB03AC">
        <w:t xml:space="preserve">Students </w:t>
      </w:r>
      <w:r w:rsidR="00A74FA1" w:rsidRPr="00BB03AC">
        <w:t xml:space="preserve">under </w:t>
      </w:r>
      <w:r w:rsidR="00BB03AC">
        <w:t>15</w:t>
      </w:r>
      <w:r w:rsidR="00A74FA1" w:rsidRPr="00BB03AC">
        <w:t xml:space="preserve"> years of age</w:t>
      </w:r>
      <w:r w:rsidR="00727F7E" w:rsidRPr="00BB03AC">
        <w:t xml:space="preserve"> at the time of commencement</w:t>
      </w:r>
      <w:r w:rsidR="00A74FA1" w:rsidRPr="00BB03AC">
        <w:t xml:space="preserve"> may only select to reside with a parent/legal guardian or a DHA</w:t>
      </w:r>
      <w:r w:rsidR="00C74600" w:rsidRPr="00BB03AC">
        <w:t>-</w:t>
      </w:r>
      <w:r w:rsidR="00A74FA1" w:rsidRPr="00BB03AC">
        <w:t>approved relative. All other students may select any of the welfare and accommodation options.</w:t>
      </w:r>
    </w:p>
    <w:p w14:paraId="7A23EC19" w14:textId="77777777" w:rsidR="004D443C" w:rsidRDefault="004D443C" w:rsidP="004D443C">
      <w:pPr>
        <w:pStyle w:val="BodyText"/>
      </w:pPr>
      <w:r>
        <w:t>Accommodation options for students are set out in the below table:</w:t>
      </w:r>
    </w:p>
    <w:p w14:paraId="4F2583FA" w14:textId="77777777" w:rsidR="00A74FA1" w:rsidRDefault="00A74FA1" w:rsidP="004D443C">
      <w:pPr>
        <w:pStyle w:val="BodyText"/>
      </w:pPr>
    </w:p>
    <w:tbl>
      <w:tblPr>
        <w:tblStyle w:val="TableGrid"/>
        <w:tblpPr w:leftFromText="180" w:rightFromText="180" w:vertAnchor="text" w:horzAnchor="margin" w:tblpYSpec="outside"/>
        <w:tblW w:w="0" w:type="auto"/>
        <w:tblLook w:val="04A0" w:firstRow="1" w:lastRow="0" w:firstColumn="1" w:lastColumn="0" w:noHBand="0" w:noVBand="1"/>
      </w:tblPr>
      <w:tblGrid>
        <w:gridCol w:w="2928"/>
        <w:gridCol w:w="961"/>
        <w:gridCol w:w="1619"/>
        <w:gridCol w:w="799"/>
        <w:gridCol w:w="760"/>
        <w:gridCol w:w="709"/>
        <w:gridCol w:w="709"/>
        <w:gridCol w:w="708"/>
      </w:tblGrid>
      <w:tr w:rsidR="00A74FA1" w14:paraId="46A0A1E3" w14:textId="77777777" w:rsidTr="00A74FA1">
        <w:tc>
          <w:tcPr>
            <w:tcW w:w="2928" w:type="dxa"/>
            <w:tcBorders>
              <w:top w:val="single" w:sz="18" w:space="0" w:color="FFFFFF" w:themeColor="background1"/>
              <w:left w:val="single" w:sz="18" w:space="0" w:color="FFFFFF" w:themeColor="background1"/>
            </w:tcBorders>
            <w:shd w:val="clear" w:color="auto" w:fill="auto"/>
            <w:vAlign w:val="center"/>
          </w:tcPr>
          <w:p w14:paraId="6D44E243" w14:textId="77777777" w:rsidR="00A74FA1" w:rsidRDefault="00A74FA1" w:rsidP="00A74FA1">
            <w:pPr>
              <w:pStyle w:val="TableHeader1"/>
            </w:pPr>
          </w:p>
        </w:tc>
        <w:tc>
          <w:tcPr>
            <w:tcW w:w="961" w:type="dxa"/>
            <w:shd w:val="clear" w:color="auto" w:fill="100249"/>
            <w:vAlign w:val="center"/>
          </w:tcPr>
          <w:p w14:paraId="06A91962" w14:textId="77777777" w:rsidR="00A74FA1" w:rsidRDefault="00A74FA1" w:rsidP="00A74FA1">
            <w:pPr>
              <w:pStyle w:val="TableHeader1"/>
              <w:jc w:val="center"/>
            </w:pPr>
            <w:r>
              <w:t>Primary School</w:t>
            </w:r>
          </w:p>
        </w:tc>
        <w:tc>
          <w:tcPr>
            <w:tcW w:w="1619" w:type="dxa"/>
            <w:shd w:val="clear" w:color="auto" w:fill="100249"/>
            <w:vAlign w:val="center"/>
          </w:tcPr>
          <w:p w14:paraId="203F6D97" w14:textId="77777777" w:rsidR="00A74FA1" w:rsidRDefault="00A74FA1" w:rsidP="00A74FA1">
            <w:pPr>
              <w:pStyle w:val="TableHeader1"/>
              <w:jc w:val="center"/>
            </w:pPr>
            <w:r>
              <w:t>Year 7</w:t>
            </w:r>
          </w:p>
          <w:p w14:paraId="3C5BFB0B" w14:textId="77777777" w:rsidR="00A74FA1" w:rsidRPr="00C56FC2" w:rsidRDefault="00A74FA1" w:rsidP="00A74FA1">
            <w:pPr>
              <w:pStyle w:val="TableHeader1"/>
              <w:jc w:val="center"/>
              <w:rPr>
                <w:i/>
                <w:sz w:val="16"/>
                <w:szCs w:val="16"/>
              </w:rPr>
            </w:pPr>
            <w:r w:rsidRPr="00C56FC2">
              <w:rPr>
                <w:i/>
                <w:sz w:val="16"/>
                <w:szCs w:val="16"/>
              </w:rPr>
              <w:t>aged 13 years or over</w:t>
            </w:r>
          </w:p>
        </w:tc>
        <w:tc>
          <w:tcPr>
            <w:tcW w:w="799" w:type="dxa"/>
            <w:shd w:val="clear" w:color="auto" w:fill="100249"/>
            <w:vAlign w:val="center"/>
          </w:tcPr>
          <w:p w14:paraId="2FBAAFE3" w14:textId="77777777" w:rsidR="00A74FA1" w:rsidRDefault="00A74FA1" w:rsidP="00A74FA1">
            <w:pPr>
              <w:pStyle w:val="TableHeader1"/>
              <w:jc w:val="center"/>
            </w:pPr>
            <w:r>
              <w:t>Year 8</w:t>
            </w:r>
          </w:p>
        </w:tc>
        <w:tc>
          <w:tcPr>
            <w:tcW w:w="760" w:type="dxa"/>
            <w:shd w:val="clear" w:color="auto" w:fill="100249"/>
            <w:vAlign w:val="center"/>
          </w:tcPr>
          <w:p w14:paraId="27FA579B" w14:textId="77777777" w:rsidR="00A74FA1" w:rsidRDefault="00A74FA1" w:rsidP="00A74FA1">
            <w:pPr>
              <w:pStyle w:val="TableHeader1"/>
              <w:jc w:val="center"/>
            </w:pPr>
            <w:r>
              <w:t>Year 9</w:t>
            </w:r>
          </w:p>
        </w:tc>
        <w:tc>
          <w:tcPr>
            <w:tcW w:w="709" w:type="dxa"/>
            <w:shd w:val="clear" w:color="auto" w:fill="100249"/>
            <w:vAlign w:val="center"/>
          </w:tcPr>
          <w:p w14:paraId="49FF9B5E" w14:textId="77777777" w:rsidR="00A74FA1" w:rsidRDefault="00A74FA1" w:rsidP="00A74FA1">
            <w:pPr>
              <w:pStyle w:val="TableHeader1"/>
              <w:jc w:val="center"/>
            </w:pPr>
            <w:r>
              <w:t>Year 10</w:t>
            </w:r>
          </w:p>
        </w:tc>
        <w:tc>
          <w:tcPr>
            <w:tcW w:w="709" w:type="dxa"/>
            <w:shd w:val="clear" w:color="auto" w:fill="100249"/>
            <w:vAlign w:val="center"/>
          </w:tcPr>
          <w:p w14:paraId="6DF8389E" w14:textId="77777777" w:rsidR="00A74FA1" w:rsidRDefault="00A74FA1" w:rsidP="00A74FA1">
            <w:pPr>
              <w:pStyle w:val="TableHeader1"/>
              <w:jc w:val="center"/>
            </w:pPr>
            <w:r>
              <w:t>Year 11*</w:t>
            </w:r>
          </w:p>
        </w:tc>
        <w:tc>
          <w:tcPr>
            <w:tcW w:w="708" w:type="dxa"/>
            <w:shd w:val="clear" w:color="auto" w:fill="100249"/>
            <w:vAlign w:val="center"/>
          </w:tcPr>
          <w:p w14:paraId="66A0EC93" w14:textId="77777777" w:rsidR="00A74FA1" w:rsidRDefault="00A74FA1" w:rsidP="00A74FA1">
            <w:pPr>
              <w:pStyle w:val="TableHeader1"/>
              <w:jc w:val="center"/>
            </w:pPr>
            <w:r>
              <w:t>Year 12*</w:t>
            </w:r>
          </w:p>
        </w:tc>
      </w:tr>
      <w:tr w:rsidR="00A74FA1" w:rsidRPr="002C6FD7" w14:paraId="0EAC308B" w14:textId="77777777" w:rsidTr="00A74FA1">
        <w:tc>
          <w:tcPr>
            <w:tcW w:w="2928" w:type="dxa"/>
            <w:shd w:val="clear" w:color="auto" w:fill="00BAC0"/>
            <w:vAlign w:val="center"/>
          </w:tcPr>
          <w:p w14:paraId="1B6F5D2E" w14:textId="77777777" w:rsidR="00A74FA1" w:rsidRDefault="00A74FA1" w:rsidP="00A74FA1">
            <w:pPr>
              <w:pStyle w:val="TableHeader2"/>
            </w:pPr>
            <w:r>
              <w:t>Non-CAAW:</w:t>
            </w:r>
          </w:p>
          <w:p w14:paraId="1A566DC7" w14:textId="2954C7A6" w:rsidR="00A74FA1" w:rsidRDefault="00A74FA1" w:rsidP="00C74600">
            <w:pPr>
              <w:pStyle w:val="TableHeader2"/>
            </w:pPr>
            <w:r>
              <w:t>Parent</w:t>
            </w:r>
            <w:r w:rsidR="004508D4">
              <w:t>(s)</w:t>
            </w:r>
            <w:r>
              <w:t>/Legal Guardian</w:t>
            </w:r>
            <w:r w:rsidR="004508D4">
              <w:t>(s)</w:t>
            </w:r>
            <w:r>
              <w:t xml:space="preserve"> or DHA</w:t>
            </w:r>
            <w:r w:rsidR="00C74600">
              <w:t>-</w:t>
            </w:r>
            <w:r>
              <w:t>Approved Relative</w:t>
            </w:r>
          </w:p>
        </w:tc>
        <w:tc>
          <w:tcPr>
            <w:tcW w:w="961" w:type="dxa"/>
            <w:vAlign w:val="center"/>
          </w:tcPr>
          <w:p w14:paraId="00BE2A63" w14:textId="77777777" w:rsidR="00A74FA1" w:rsidRPr="002C6FD7" w:rsidRDefault="00A74FA1" w:rsidP="00A74FA1">
            <w:pPr>
              <w:pStyle w:val="TableText"/>
              <w:jc w:val="center"/>
              <w:rPr>
                <w:szCs w:val="18"/>
              </w:rPr>
            </w:pPr>
            <w:r w:rsidRPr="002C6FD7">
              <w:rPr>
                <w:rFonts w:ascii="Segoe UI Symbol" w:hAnsi="Segoe UI Symbol" w:cs="Segoe UI Symbol"/>
                <w:szCs w:val="18"/>
                <w:lang w:val="en"/>
              </w:rPr>
              <w:t>✔</w:t>
            </w:r>
          </w:p>
        </w:tc>
        <w:tc>
          <w:tcPr>
            <w:tcW w:w="1619" w:type="dxa"/>
            <w:vAlign w:val="center"/>
          </w:tcPr>
          <w:p w14:paraId="1A6CC932" w14:textId="77777777" w:rsidR="00A74FA1" w:rsidRPr="002C6FD7" w:rsidRDefault="00A74FA1" w:rsidP="00A74FA1">
            <w:pPr>
              <w:pStyle w:val="TableText"/>
              <w:jc w:val="center"/>
              <w:rPr>
                <w:szCs w:val="18"/>
              </w:rPr>
            </w:pPr>
            <w:r w:rsidRPr="002C6FD7">
              <w:rPr>
                <w:rFonts w:ascii="Segoe UI Symbol" w:hAnsi="Segoe UI Symbol" w:cs="Segoe UI Symbol"/>
                <w:szCs w:val="18"/>
                <w:lang w:val="en"/>
              </w:rPr>
              <w:t>✔</w:t>
            </w:r>
          </w:p>
        </w:tc>
        <w:tc>
          <w:tcPr>
            <w:tcW w:w="799" w:type="dxa"/>
            <w:vAlign w:val="center"/>
          </w:tcPr>
          <w:p w14:paraId="5A6F439A" w14:textId="77777777" w:rsidR="00A74FA1" w:rsidRPr="002C6FD7" w:rsidRDefault="00A74FA1" w:rsidP="00A74FA1">
            <w:pPr>
              <w:pStyle w:val="TableText"/>
              <w:jc w:val="center"/>
              <w:rPr>
                <w:szCs w:val="18"/>
              </w:rPr>
            </w:pPr>
            <w:r w:rsidRPr="002C6FD7">
              <w:rPr>
                <w:rFonts w:ascii="Segoe UI Symbol" w:hAnsi="Segoe UI Symbol" w:cs="Segoe UI Symbol"/>
                <w:szCs w:val="18"/>
                <w:lang w:val="en"/>
              </w:rPr>
              <w:t>✔</w:t>
            </w:r>
          </w:p>
        </w:tc>
        <w:tc>
          <w:tcPr>
            <w:tcW w:w="760" w:type="dxa"/>
            <w:vAlign w:val="center"/>
          </w:tcPr>
          <w:p w14:paraId="79815860" w14:textId="77777777" w:rsidR="00A74FA1" w:rsidRPr="002C6FD7" w:rsidRDefault="00A74FA1" w:rsidP="00A74FA1">
            <w:pPr>
              <w:pStyle w:val="TableText"/>
              <w:jc w:val="center"/>
              <w:rPr>
                <w:szCs w:val="18"/>
              </w:rPr>
            </w:pPr>
            <w:r w:rsidRPr="002C6FD7">
              <w:rPr>
                <w:rFonts w:ascii="Segoe UI Symbol" w:hAnsi="Segoe UI Symbol" w:cs="Segoe UI Symbol"/>
                <w:szCs w:val="18"/>
                <w:lang w:val="en"/>
              </w:rPr>
              <w:t>✔</w:t>
            </w:r>
          </w:p>
        </w:tc>
        <w:tc>
          <w:tcPr>
            <w:tcW w:w="709" w:type="dxa"/>
            <w:vAlign w:val="center"/>
          </w:tcPr>
          <w:p w14:paraId="722852E8" w14:textId="77777777" w:rsidR="00A74FA1" w:rsidRPr="002C6FD7" w:rsidRDefault="00A74FA1" w:rsidP="00A74FA1">
            <w:pPr>
              <w:pStyle w:val="TableText"/>
              <w:jc w:val="center"/>
              <w:rPr>
                <w:szCs w:val="18"/>
              </w:rPr>
            </w:pPr>
            <w:r w:rsidRPr="002C6FD7">
              <w:rPr>
                <w:rFonts w:ascii="Segoe UI Symbol" w:hAnsi="Segoe UI Symbol" w:cs="Segoe UI Symbol"/>
                <w:szCs w:val="18"/>
                <w:lang w:val="en"/>
              </w:rPr>
              <w:t>✔</w:t>
            </w:r>
          </w:p>
        </w:tc>
        <w:tc>
          <w:tcPr>
            <w:tcW w:w="709" w:type="dxa"/>
            <w:vAlign w:val="center"/>
          </w:tcPr>
          <w:p w14:paraId="10018E30" w14:textId="77777777" w:rsidR="00A74FA1" w:rsidRPr="002C6FD7" w:rsidRDefault="00A74FA1" w:rsidP="00A74FA1">
            <w:pPr>
              <w:pStyle w:val="TableText"/>
              <w:jc w:val="center"/>
              <w:rPr>
                <w:szCs w:val="18"/>
              </w:rPr>
            </w:pPr>
            <w:r w:rsidRPr="002C6FD7">
              <w:rPr>
                <w:rFonts w:ascii="Segoe UI Symbol" w:hAnsi="Segoe UI Symbol" w:cs="Segoe UI Symbol"/>
                <w:szCs w:val="18"/>
                <w:lang w:val="en"/>
              </w:rPr>
              <w:t>✔</w:t>
            </w:r>
          </w:p>
        </w:tc>
        <w:tc>
          <w:tcPr>
            <w:tcW w:w="708" w:type="dxa"/>
            <w:vAlign w:val="center"/>
          </w:tcPr>
          <w:p w14:paraId="26B87D50" w14:textId="77777777" w:rsidR="00A74FA1" w:rsidRPr="002C6FD7" w:rsidRDefault="00A74FA1" w:rsidP="00A74FA1">
            <w:pPr>
              <w:pStyle w:val="TableText"/>
              <w:jc w:val="center"/>
              <w:rPr>
                <w:szCs w:val="18"/>
              </w:rPr>
            </w:pPr>
            <w:r w:rsidRPr="002C6FD7">
              <w:rPr>
                <w:rFonts w:ascii="Segoe UI Symbol" w:hAnsi="Segoe UI Symbol" w:cs="Segoe UI Symbol"/>
                <w:szCs w:val="18"/>
                <w:lang w:val="en"/>
              </w:rPr>
              <w:t>✔</w:t>
            </w:r>
          </w:p>
        </w:tc>
      </w:tr>
      <w:tr w:rsidR="00A74FA1" w:rsidRPr="002C6FD7" w14:paraId="0FFB7F54" w14:textId="77777777" w:rsidTr="00A74FA1">
        <w:tc>
          <w:tcPr>
            <w:tcW w:w="2928" w:type="dxa"/>
            <w:shd w:val="clear" w:color="auto" w:fill="00BAC0"/>
            <w:vAlign w:val="center"/>
          </w:tcPr>
          <w:p w14:paraId="7ECF0D19" w14:textId="491CD97B" w:rsidR="00A74FA1" w:rsidRPr="00BB03AC" w:rsidRDefault="00A74FA1" w:rsidP="00A74FA1">
            <w:pPr>
              <w:pStyle w:val="TableHeader2"/>
            </w:pPr>
            <w:r w:rsidRPr="00BB03AC">
              <w:t>CAAW:</w:t>
            </w:r>
          </w:p>
          <w:p w14:paraId="683678A8" w14:textId="05C871A3" w:rsidR="00A74FA1" w:rsidRDefault="00A74FA1" w:rsidP="00A74FA1">
            <w:pPr>
              <w:pStyle w:val="TableHeader2"/>
            </w:pPr>
            <w:r w:rsidRPr="00BB03AC">
              <w:t>DE (IED) Homestay</w:t>
            </w:r>
          </w:p>
        </w:tc>
        <w:tc>
          <w:tcPr>
            <w:tcW w:w="961" w:type="dxa"/>
            <w:vAlign w:val="center"/>
          </w:tcPr>
          <w:p w14:paraId="0CBFB98C" w14:textId="77777777" w:rsidR="00A74FA1" w:rsidRPr="002C6FD7" w:rsidRDefault="00A74FA1" w:rsidP="00A74FA1">
            <w:pPr>
              <w:pStyle w:val="TableText"/>
              <w:jc w:val="center"/>
              <w:rPr>
                <w:szCs w:val="18"/>
              </w:rPr>
            </w:pPr>
          </w:p>
        </w:tc>
        <w:tc>
          <w:tcPr>
            <w:tcW w:w="1619" w:type="dxa"/>
            <w:vAlign w:val="center"/>
          </w:tcPr>
          <w:p w14:paraId="323DF4A5" w14:textId="77777777" w:rsidR="00A74FA1" w:rsidRPr="002C6FD7" w:rsidRDefault="00A74FA1" w:rsidP="00A74FA1">
            <w:pPr>
              <w:pStyle w:val="TableText"/>
              <w:jc w:val="center"/>
              <w:rPr>
                <w:szCs w:val="18"/>
              </w:rPr>
            </w:pPr>
            <w:r w:rsidRPr="002C6FD7">
              <w:rPr>
                <w:rFonts w:ascii="Segoe UI Symbol" w:hAnsi="Segoe UI Symbol" w:cs="Segoe UI Symbol"/>
                <w:szCs w:val="18"/>
                <w:lang w:val="en"/>
              </w:rPr>
              <w:t>✔</w:t>
            </w:r>
          </w:p>
        </w:tc>
        <w:tc>
          <w:tcPr>
            <w:tcW w:w="799" w:type="dxa"/>
            <w:vAlign w:val="center"/>
          </w:tcPr>
          <w:p w14:paraId="0DDF2E0B" w14:textId="77777777" w:rsidR="00A74FA1" w:rsidRPr="002C6FD7" w:rsidRDefault="00A74FA1" w:rsidP="00A74FA1">
            <w:pPr>
              <w:pStyle w:val="TableText"/>
              <w:jc w:val="center"/>
              <w:rPr>
                <w:szCs w:val="18"/>
              </w:rPr>
            </w:pPr>
            <w:r w:rsidRPr="002C6FD7">
              <w:rPr>
                <w:rFonts w:ascii="Segoe UI Symbol" w:hAnsi="Segoe UI Symbol" w:cs="Segoe UI Symbol"/>
                <w:szCs w:val="18"/>
                <w:lang w:val="en"/>
              </w:rPr>
              <w:t>✔</w:t>
            </w:r>
          </w:p>
        </w:tc>
        <w:tc>
          <w:tcPr>
            <w:tcW w:w="760" w:type="dxa"/>
            <w:vAlign w:val="center"/>
          </w:tcPr>
          <w:p w14:paraId="45F61624" w14:textId="77777777" w:rsidR="00A74FA1" w:rsidRPr="002C6FD7" w:rsidRDefault="00A74FA1" w:rsidP="00A74FA1">
            <w:pPr>
              <w:pStyle w:val="TableText"/>
              <w:jc w:val="center"/>
              <w:rPr>
                <w:szCs w:val="18"/>
              </w:rPr>
            </w:pPr>
            <w:r w:rsidRPr="002C6FD7">
              <w:rPr>
                <w:rFonts w:ascii="Segoe UI Symbol" w:hAnsi="Segoe UI Symbol" w:cs="Segoe UI Symbol"/>
                <w:szCs w:val="18"/>
                <w:lang w:val="en"/>
              </w:rPr>
              <w:t>✔</w:t>
            </w:r>
          </w:p>
        </w:tc>
        <w:tc>
          <w:tcPr>
            <w:tcW w:w="709" w:type="dxa"/>
            <w:vAlign w:val="center"/>
          </w:tcPr>
          <w:p w14:paraId="0CBC3B1F" w14:textId="77777777" w:rsidR="00A74FA1" w:rsidRPr="002C6FD7" w:rsidRDefault="00A74FA1" w:rsidP="00A74FA1">
            <w:pPr>
              <w:pStyle w:val="TableText"/>
              <w:jc w:val="center"/>
              <w:rPr>
                <w:szCs w:val="18"/>
              </w:rPr>
            </w:pPr>
            <w:r w:rsidRPr="002C6FD7">
              <w:rPr>
                <w:rFonts w:ascii="Segoe UI Symbol" w:hAnsi="Segoe UI Symbol" w:cs="Segoe UI Symbol"/>
                <w:szCs w:val="18"/>
                <w:lang w:val="en"/>
              </w:rPr>
              <w:t>✔</w:t>
            </w:r>
          </w:p>
        </w:tc>
        <w:tc>
          <w:tcPr>
            <w:tcW w:w="709" w:type="dxa"/>
            <w:vAlign w:val="center"/>
          </w:tcPr>
          <w:p w14:paraId="2C34D826" w14:textId="77777777" w:rsidR="00A74FA1" w:rsidRPr="002C6FD7" w:rsidRDefault="00A74FA1" w:rsidP="00A74FA1">
            <w:pPr>
              <w:pStyle w:val="TableText"/>
              <w:jc w:val="center"/>
              <w:rPr>
                <w:szCs w:val="18"/>
              </w:rPr>
            </w:pPr>
            <w:r w:rsidRPr="002C6FD7">
              <w:rPr>
                <w:rFonts w:ascii="Segoe UI Symbol" w:hAnsi="Segoe UI Symbol" w:cs="Segoe UI Symbol"/>
                <w:szCs w:val="18"/>
                <w:lang w:val="en"/>
              </w:rPr>
              <w:t>✔</w:t>
            </w:r>
          </w:p>
        </w:tc>
        <w:tc>
          <w:tcPr>
            <w:tcW w:w="708" w:type="dxa"/>
            <w:vAlign w:val="center"/>
          </w:tcPr>
          <w:p w14:paraId="0254F304" w14:textId="77777777" w:rsidR="00A74FA1" w:rsidRPr="002C6FD7" w:rsidRDefault="00A74FA1" w:rsidP="00A74FA1">
            <w:pPr>
              <w:pStyle w:val="TableText"/>
              <w:jc w:val="center"/>
              <w:rPr>
                <w:szCs w:val="18"/>
              </w:rPr>
            </w:pPr>
            <w:r w:rsidRPr="002C6FD7">
              <w:rPr>
                <w:rFonts w:ascii="Segoe UI Symbol" w:hAnsi="Segoe UI Symbol" w:cs="Segoe UI Symbol"/>
                <w:szCs w:val="18"/>
                <w:lang w:val="en"/>
              </w:rPr>
              <w:t>✔</w:t>
            </w:r>
          </w:p>
        </w:tc>
      </w:tr>
    </w:tbl>
    <w:p w14:paraId="3E5066B3" w14:textId="77777777" w:rsidR="00A74FA1" w:rsidRDefault="00A74FA1" w:rsidP="004D443C">
      <w:pPr>
        <w:pStyle w:val="BodyText"/>
      </w:pPr>
    </w:p>
    <w:p w14:paraId="2D80BFD0" w14:textId="77777777" w:rsidR="00A74FA1" w:rsidRDefault="00A74FA1" w:rsidP="004D443C">
      <w:pPr>
        <w:pStyle w:val="BodyText"/>
      </w:pPr>
    </w:p>
    <w:p w14:paraId="3F4B5FC9" w14:textId="77777777" w:rsidR="00A74FA1" w:rsidRDefault="00A74FA1" w:rsidP="004D443C">
      <w:pPr>
        <w:pStyle w:val="BodyText"/>
      </w:pPr>
    </w:p>
    <w:p w14:paraId="49A677F6" w14:textId="77777777" w:rsidR="00A74FA1" w:rsidRDefault="00A74FA1" w:rsidP="004D443C">
      <w:pPr>
        <w:pStyle w:val="BodyText"/>
      </w:pPr>
    </w:p>
    <w:p w14:paraId="1254FF52" w14:textId="77777777" w:rsidR="00A74FA1" w:rsidRDefault="00A74FA1" w:rsidP="004D443C">
      <w:pPr>
        <w:pStyle w:val="BodyText"/>
      </w:pPr>
    </w:p>
    <w:p w14:paraId="61D3B64B" w14:textId="77777777" w:rsidR="00A74FA1" w:rsidRDefault="00A74FA1" w:rsidP="004D443C">
      <w:pPr>
        <w:pStyle w:val="BodyText"/>
      </w:pPr>
    </w:p>
    <w:p w14:paraId="1DE1105B" w14:textId="7CF525A8" w:rsidR="00670D2B" w:rsidRPr="00BB03AC" w:rsidRDefault="00670D2B" w:rsidP="00670D2B">
      <w:pPr>
        <w:pStyle w:val="BodyText"/>
      </w:pPr>
      <w:r w:rsidRPr="00BB03AC">
        <w:t xml:space="preserve">*DE (IED) requires students 18 years of </w:t>
      </w:r>
      <w:r w:rsidR="009C60BD" w:rsidRPr="00BB03AC">
        <w:t>age and over to live in</w:t>
      </w:r>
      <w:r w:rsidRPr="00BB03AC">
        <w:t xml:space="preserve"> approved accommodation for the duration of their study as a condition of their enrolment at the school. In special circumstances, DE (IED) may allow alternative living arrangements in consultation with the school.</w:t>
      </w:r>
      <w:r w:rsidR="00435143" w:rsidRPr="00BB03AC">
        <w:t xml:space="preserve"> </w:t>
      </w:r>
      <w:r w:rsidR="00542B56" w:rsidRPr="00BB03AC">
        <w:t xml:space="preserve">Please refer to the </w:t>
      </w:r>
      <w:r w:rsidR="00542B56" w:rsidRPr="00BB03AC">
        <w:fldChar w:fldCharType="begin"/>
      </w:r>
      <w:r w:rsidR="00542B56" w:rsidRPr="00BB03AC">
        <w:instrText xml:space="preserve"> HYPERLINK "https://www.study.vic.gov.au/Shared%20Documents/en/School_Toolkit/ISP_Homestay_Policy.docx" </w:instrText>
      </w:r>
      <w:r w:rsidR="00542B56" w:rsidRPr="00BB03AC">
        <w:fldChar w:fldCharType="separate"/>
      </w:r>
      <w:r w:rsidR="00542B56" w:rsidRPr="00BB03AC">
        <w:rPr>
          <w:rStyle w:val="Hyperlink"/>
        </w:rPr>
        <w:t>ISP Homestay Policy</w:t>
      </w:r>
      <w:r w:rsidR="00542B56" w:rsidRPr="00BB03AC">
        <w:rPr>
          <w:rStyle w:val="Hyperlink"/>
        </w:rPr>
        <w:fldChar w:fldCharType="end"/>
      </w:r>
      <w:r w:rsidR="00B765C9" w:rsidRPr="00BB03AC">
        <w:rPr>
          <w:rStyle w:val="Hyperlink"/>
        </w:rPr>
        <w:t xml:space="preserve">, </w:t>
      </w:r>
      <w:r w:rsidR="00542B56" w:rsidRPr="00BB03AC">
        <w:fldChar w:fldCharType="begin"/>
      </w:r>
      <w:r w:rsidR="00542B56" w:rsidRPr="00BB03AC">
        <w:instrText xml:space="preserve"> HYPERLINK "https://www.study.vic.gov.au/Shared%20Documents/en/School_Toolkit/ISP_Homestay_Procedure.docx" </w:instrText>
      </w:r>
      <w:r w:rsidR="00542B56" w:rsidRPr="00BB03AC">
        <w:fldChar w:fldCharType="separate"/>
      </w:r>
      <w:r w:rsidR="00542B56" w:rsidRPr="00BB03AC">
        <w:rPr>
          <w:rStyle w:val="Hyperlink"/>
        </w:rPr>
        <w:t>ISP Homestay Procedure</w:t>
      </w:r>
      <w:r w:rsidR="00542B56" w:rsidRPr="00BB03AC">
        <w:rPr>
          <w:rStyle w:val="Hyperlink"/>
        </w:rPr>
        <w:fldChar w:fldCharType="end"/>
      </w:r>
      <w:r w:rsidR="00542B56" w:rsidRPr="00BB03AC">
        <w:t xml:space="preserve"> </w:t>
      </w:r>
      <w:r w:rsidR="00B765C9" w:rsidRPr="00BB03AC">
        <w:t xml:space="preserve">and </w:t>
      </w:r>
      <w:r w:rsidR="00B765C9" w:rsidRPr="00BB03AC">
        <w:fldChar w:fldCharType="begin"/>
      </w:r>
      <w:r w:rsidR="00B765C9" w:rsidRPr="00BB03AC">
        <w:instrText xml:space="preserve"> HYPERLINK "https://aus01.safelinks.protection.outlook.com/?url=https%3A%2F%2Fstudy.vic.gov.au%2FShared%2520Documents%2Fen%2FSchool_Toolkit%2FIndependent%2520Living%2520Assessment%2520Checklist.docx&amp;data=05%7C01%7CAndrew.Barrett%40education.vic.gov.au%7C69bb4460a9f2435f74b308dac05864ce%7Cd96cb3371a8744cfb69b3cec334a4c1f%7C0%7C0%7C638033783150328925%7CUnknown%7CTWFpbGZsb3d8eyJWIjoiMC4wLjAwMDAiLCJQIjoiV2luMzIiLCJBTiI6Ik1haWwiLCJXVCI6Mn0%3D%7C3000%7C%7C%7C&amp;sdata=8s41sZYLm89%2Bwtkh3tRl4Q2lgs87Bl%2FNHRDJF3KxFRk%3D&amp;reserved=0" </w:instrText>
      </w:r>
      <w:r w:rsidR="00B765C9" w:rsidRPr="00BB03AC">
        <w:fldChar w:fldCharType="separate"/>
      </w:r>
      <w:r w:rsidR="00B765C9" w:rsidRPr="00BB03AC">
        <w:rPr>
          <w:rStyle w:val="Hyperlink"/>
        </w:rPr>
        <w:t>Independent Living Assessment Checklist</w:t>
      </w:r>
      <w:r w:rsidR="00B765C9" w:rsidRPr="00BB03AC">
        <w:fldChar w:fldCharType="end"/>
      </w:r>
      <w:r w:rsidR="00B765C9" w:rsidRPr="00BB03AC">
        <w:t xml:space="preserve"> for further information</w:t>
      </w:r>
      <w:r w:rsidR="00E72DEC" w:rsidRPr="00BB03AC">
        <w:t>.</w:t>
      </w:r>
    </w:p>
    <w:p w14:paraId="5E3D28A1" w14:textId="1D875369" w:rsidR="00670D2B" w:rsidRPr="00BB03AC" w:rsidRDefault="001B2030" w:rsidP="00670D2B">
      <w:pPr>
        <w:pStyle w:val="Heading3"/>
        <w:numPr>
          <w:ilvl w:val="2"/>
          <w:numId w:val="0"/>
        </w:numPr>
      </w:pPr>
      <w:r w:rsidRPr="00BB03AC">
        <w:t>National Code o</w:t>
      </w:r>
      <w:r w:rsidR="00670D2B" w:rsidRPr="00BB03AC">
        <w:t>bligations</w:t>
      </w:r>
    </w:p>
    <w:p w14:paraId="6B4CA3D1" w14:textId="63B2A713" w:rsidR="00670D2B" w:rsidRPr="00BB03AC" w:rsidRDefault="00670D2B" w:rsidP="00670D2B">
      <w:pPr>
        <w:pStyle w:val="BodyText"/>
      </w:pPr>
      <w:r w:rsidRPr="00BB03AC">
        <w:t>Under Standard 5 of the National Code, DE (IED) has the following obligations to all enrolled students:</w:t>
      </w:r>
    </w:p>
    <w:p w14:paraId="76358860" w14:textId="37E68E4F" w:rsidR="00670D2B" w:rsidRPr="00BB03AC" w:rsidRDefault="002E3BC2" w:rsidP="00670D2B">
      <w:pPr>
        <w:pStyle w:val="ListBullet"/>
        <w:numPr>
          <w:ilvl w:val="0"/>
          <w:numId w:val="44"/>
        </w:numPr>
        <w:ind w:left="340" w:hanging="340"/>
      </w:pPr>
      <w:r w:rsidRPr="00BB03AC">
        <w:t>m</w:t>
      </w:r>
      <w:r w:rsidR="00670D2B" w:rsidRPr="00BB03AC">
        <w:t>eet the Commonwealth, state and all other regulatory requirements relating to child welfare and protection appropriate to the jurisdiction in wh</w:t>
      </w:r>
      <w:r w:rsidRPr="00BB03AC">
        <w:t xml:space="preserve">ich it </w:t>
      </w:r>
      <w:proofErr w:type="gramStart"/>
      <w:r w:rsidRPr="00BB03AC">
        <w:t>operates</w:t>
      </w:r>
      <w:proofErr w:type="gramEnd"/>
    </w:p>
    <w:p w14:paraId="7EBDCA06" w14:textId="70CF4B8D" w:rsidR="00670D2B" w:rsidRPr="00BB03AC" w:rsidRDefault="002E3BC2" w:rsidP="00670D2B">
      <w:pPr>
        <w:pStyle w:val="ListBullet"/>
        <w:numPr>
          <w:ilvl w:val="0"/>
          <w:numId w:val="44"/>
        </w:numPr>
        <w:ind w:left="340" w:hanging="340"/>
      </w:pPr>
      <w:r w:rsidRPr="00BB03AC">
        <w:t>e</w:t>
      </w:r>
      <w:r w:rsidR="00670D2B" w:rsidRPr="00BB03AC">
        <w:t>nsure students under 18 years of age are given age and culturally appropriate information on:</w:t>
      </w:r>
    </w:p>
    <w:p w14:paraId="51FC51D2" w14:textId="77777777" w:rsidR="00670D2B" w:rsidRPr="00BB03AC" w:rsidRDefault="00670D2B" w:rsidP="00670D2B">
      <w:pPr>
        <w:pStyle w:val="ListBullet2"/>
        <w:numPr>
          <w:ilvl w:val="0"/>
          <w:numId w:val="44"/>
        </w:numPr>
        <w:ind w:left="680" w:hanging="340"/>
      </w:pPr>
      <w:r w:rsidRPr="00BB03AC">
        <w:t xml:space="preserve">Who to contact in emergency </w:t>
      </w:r>
      <w:proofErr w:type="gramStart"/>
      <w:r w:rsidRPr="00BB03AC">
        <w:t>situations</w:t>
      </w:r>
      <w:proofErr w:type="gramEnd"/>
    </w:p>
    <w:p w14:paraId="2F87C78F" w14:textId="700D09FF" w:rsidR="00670D2B" w:rsidRPr="00BB03AC" w:rsidRDefault="00670D2B" w:rsidP="00670D2B">
      <w:pPr>
        <w:pStyle w:val="ListBullet2"/>
        <w:numPr>
          <w:ilvl w:val="0"/>
          <w:numId w:val="44"/>
        </w:numPr>
        <w:ind w:left="680" w:hanging="340"/>
      </w:pPr>
      <w:r w:rsidRPr="00BB03AC">
        <w:t>How to seek assistance in reporting any incident or allegation involving actual or alleged sexual, physic</w:t>
      </w:r>
      <w:r w:rsidR="002E3BC2" w:rsidRPr="00BB03AC">
        <w:t xml:space="preserve">al or other </w:t>
      </w:r>
      <w:proofErr w:type="gramStart"/>
      <w:r w:rsidR="002E3BC2" w:rsidRPr="00BB03AC">
        <w:t>abuse</w:t>
      </w:r>
      <w:proofErr w:type="gramEnd"/>
    </w:p>
    <w:p w14:paraId="2FF7C4A7" w14:textId="2AA811F7" w:rsidR="00670D2B" w:rsidRPr="00BB03AC" w:rsidRDefault="002E3BC2" w:rsidP="00670D2B">
      <w:pPr>
        <w:pStyle w:val="ListBullet"/>
        <w:numPr>
          <w:ilvl w:val="0"/>
          <w:numId w:val="44"/>
        </w:numPr>
        <w:ind w:left="340" w:hanging="340"/>
      </w:pPr>
      <w:r w:rsidRPr="00BB03AC">
        <w:t>m</w:t>
      </w:r>
      <w:r w:rsidR="00670D2B" w:rsidRPr="00BB03AC">
        <w:t>ake all reasonable efforts to locate a student who is uncontactable, including notifying the police and all relevant agencies as soon as practicable.</w:t>
      </w:r>
    </w:p>
    <w:p w14:paraId="1783E706" w14:textId="77777777" w:rsidR="00670D2B" w:rsidRPr="00BB03AC" w:rsidRDefault="00670D2B" w:rsidP="00670D2B">
      <w:pPr>
        <w:pStyle w:val="ListBullet"/>
        <w:numPr>
          <w:ilvl w:val="0"/>
          <w:numId w:val="0"/>
        </w:numPr>
      </w:pPr>
    </w:p>
    <w:p w14:paraId="62BF71F8" w14:textId="0B20C4F5" w:rsidR="00670D2B" w:rsidRPr="00BB03AC" w:rsidRDefault="00670D2B" w:rsidP="00670D2B">
      <w:pPr>
        <w:pStyle w:val="ListBullet"/>
        <w:numPr>
          <w:ilvl w:val="0"/>
          <w:numId w:val="0"/>
        </w:numPr>
      </w:pPr>
      <w:r w:rsidRPr="00BB03AC">
        <w:t>DE (IED) discharges thes</w:t>
      </w:r>
      <w:r w:rsidR="00DC7292" w:rsidRPr="00BB03AC">
        <w:t>e obligations as follows</w:t>
      </w:r>
      <w:r w:rsidR="00DC4F2C" w:rsidRPr="00BB03AC">
        <w:t>:</w:t>
      </w:r>
    </w:p>
    <w:p w14:paraId="6DE9321E" w14:textId="77777777" w:rsidR="00A32828" w:rsidRPr="00BB03AC" w:rsidRDefault="00A32828" w:rsidP="00A74FA1">
      <w:pPr>
        <w:pStyle w:val="Heading3"/>
        <w:numPr>
          <w:ilvl w:val="2"/>
          <w:numId w:val="30"/>
        </w:numPr>
      </w:pPr>
      <w:r w:rsidRPr="00BB03AC">
        <w:t>Enrolment</w:t>
      </w:r>
    </w:p>
    <w:p w14:paraId="2634988B" w14:textId="03309498" w:rsidR="00A74FA1" w:rsidRPr="00BB03AC" w:rsidRDefault="00A74FA1" w:rsidP="00A74FA1">
      <w:pPr>
        <w:pStyle w:val="BodyText"/>
        <w:keepNext/>
      </w:pPr>
      <w:r w:rsidRPr="00BB03AC">
        <w:t>DE (IED) must:</w:t>
      </w:r>
    </w:p>
    <w:p w14:paraId="4ACCD8D9" w14:textId="060C1F61" w:rsidR="00A74FA1" w:rsidRPr="00BB03AC" w:rsidRDefault="002E3BC2" w:rsidP="00A74FA1">
      <w:pPr>
        <w:pStyle w:val="ListBullet"/>
      </w:pPr>
      <w:r w:rsidRPr="00BB03AC">
        <w:t>h</w:t>
      </w:r>
      <w:r w:rsidR="00A74FA1" w:rsidRPr="00BB03AC">
        <w:t>ave processes and supports in place to monitor a school’s responsibilities</w:t>
      </w:r>
      <w:r w:rsidR="00A32828" w:rsidRPr="00BB03AC">
        <w:t xml:space="preserve"> for both non-CAAW and CAAW</w:t>
      </w:r>
      <w:r w:rsidR="00727F7E" w:rsidRPr="00BB03AC">
        <w:t xml:space="preserve"> students. There are additional obligations relating to CAAW students. These are addressed in the </w:t>
      </w:r>
      <w:hyperlink r:id="rId14" w:history="1">
        <w:r w:rsidR="00047508" w:rsidRPr="00BB03AC">
          <w:rPr>
            <w:rStyle w:val="Hyperlink"/>
          </w:rPr>
          <w:t>ISP Homestay Policy</w:t>
        </w:r>
      </w:hyperlink>
      <w:r w:rsidR="00047508" w:rsidRPr="00BB03AC">
        <w:t xml:space="preserve"> </w:t>
      </w:r>
      <w:r w:rsidRPr="00BB03AC">
        <w:t xml:space="preserve">and </w:t>
      </w:r>
      <w:hyperlink r:id="rId15" w:history="1">
        <w:r w:rsidR="00047508" w:rsidRPr="00BB03AC">
          <w:rPr>
            <w:rStyle w:val="Hyperlink"/>
          </w:rPr>
          <w:t>ISP Homestay Procedure</w:t>
        </w:r>
      </w:hyperlink>
    </w:p>
    <w:p w14:paraId="59355687" w14:textId="382AD65B" w:rsidR="00727F7E" w:rsidRPr="00BB03AC" w:rsidRDefault="002E3BC2" w:rsidP="00670D2B">
      <w:pPr>
        <w:pStyle w:val="ListBullet"/>
      </w:pPr>
      <w:r w:rsidRPr="00BB03AC">
        <w:t>a</w:t>
      </w:r>
      <w:r w:rsidR="000C10C8" w:rsidRPr="00BB03AC">
        <w:t xml:space="preserve">pprove any changes to accommodation and welfare arrangements. </w:t>
      </w:r>
    </w:p>
    <w:p w14:paraId="2FA7DA32" w14:textId="77777777" w:rsidR="00A74FA1" w:rsidRPr="00BB03AC" w:rsidRDefault="00A74FA1" w:rsidP="00A74FA1">
      <w:pPr>
        <w:pStyle w:val="BodyText"/>
      </w:pPr>
      <w:r w:rsidRPr="00BB03AC">
        <w:t>Schools must:</w:t>
      </w:r>
    </w:p>
    <w:p w14:paraId="556A7014" w14:textId="79C1376C" w:rsidR="00A74FA1" w:rsidRPr="00BB03AC" w:rsidRDefault="002E3BC2" w:rsidP="00A74FA1">
      <w:pPr>
        <w:pStyle w:val="ListBullet"/>
      </w:pPr>
      <w:r w:rsidRPr="00BB03AC">
        <w:t>p</w:t>
      </w:r>
      <w:r w:rsidR="00A74FA1" w:rsidRPr="00BB03AC">
        <w:t>rovide written confirmation to DE (IED) formally accepting the welfare and accommodation request, as per th</w:t>
      </w:r>
      <w:r w:rsidR="000C10C8" w:rsidRPr="00BB03AC">
        <w:t xml:space="preserve">e </w:t>
      </w:r>
      <w:hyperlink r:id="rId16" w:history="1">
        <w:r w:rsidR="00047508" w:rsidRPr="00BB03AC">
          <w:rPr>
            <w:rStyle w:val="Hyperlink"/>
          </w:rPr>
          <w:t>ISP Admissions and Enrolment Procedure</w:t>
        </w:r>
      </w:hyperlink>
      <w:r w:rsidR="00A74FA1" w:rsidRPr="00BB03AC">
        <w:t>, and undertake the necessary steps for the provision of this request</w:t>
      </w:r>
    </w:p>
    <w:p w14:paraId="6F5A86C8" w14:textId="782C99B4" w:rsidR="00A74FA1" w:rsidRPr="00BB03AC" w:rsidRDefault="002E3BC2" w:rsidP="00A74FA1">
      <w:pPr>
        <w:pStyle w:val="ListBullet"/>
      </w:pPr>
      <w:r w:rsidRPr="00BB03AC">
        <w:t>d</w:t>
      </w:r>
      <w:r w:rsidR="00A74FA1" w:rsidRPr="00BB03AC">
        <w:t xml:space="preserve">ischarge their duty of care </w:t>
      </w:r>
      <w:r w:rsidR="00636603" w:rsidRPr="00BB03AC">
        <w:t xml:space="preserve">and other </w:t>
      </w:r>
      <w:r w:rsidR="00A74FA1" w:rsidRPr="00BB03AC">
        <w:t>obligations</w:t>
      </w:r>
      <w:r w:rsidR="00636603" w:rsidRPr="00BB03AC">
        <w:t xml:space="preserve"> that may arise</w:t>
      </w:r>
      <w:r w:rsidR="00A74FA1" w:rsidRPr="00BB03AC">
        <w:t xml:space="preserve"> under the </w:t>
      </w:r>
      <w:r w:rsidR="00DD4BC5" w:rsidRPr="00BB03AC">
        <w:t>Victorian Child Safe Standards, the Commissioner for Children and Young People Reportable Conduct Scheme</w:t>
      </w:r>
      <w:r w:rsidR="00A74FA1" w:rsidRPr="00BB03AC">
        <w:t xml:space="preserve"> and DE’s </w:t>
      </w:r>
      <w:r w:rsidR="004632EF" w:rsidRPr="00BB03AC">
        <w:fldChar w:fldCharType="begin"/>
      </w:r>
      <w:r w:rsidR="004632EF" w:rsidRPr="00BB03AC">
        <w:instrText xml:space="preserve"> HYPERLINK "https://www2.education.vic.gov.au/pal/reporting-and-managing-school-incidents-including-emergencies/policy" </w:instrText>
      </w:r>
      <w:r w:rsidR="004632EF" w:rsidRPr="00BB03AC">
        <w:fldChar w:fldCharType="separate"/>
      </w:r>
      <w:r w:rsidR="00542B56" w:rsidRPr="00BB03AC">
        <w:rPr>
          <w:rStyle w:val="Hyperlink"/>
        </w:rPr>
        <w:t>Managing and Reporting School Incidents (including emergencies)</w:t>
      </w:r>
      <w:r w:rsidR="004632EF" w:rsidRPr="00BB03AC">
        <w:fldChar w:fldCharType="end"/>
      </w:r>
      <w:r w:rsidRPr="00BB03AC">
        <w:t xml:space="preserve"> policy and guidelines</w:t>
      </w:r>
      <w:r w:rsidR="00A74FA1" w:rsidRPr="00BB03AC">
        <w:t xml:space="preserve"> </w:t>
      </w:r>
    </w:p>
    <w:p w14:paraId="7EF1867C" w14:textId="62117DA8" w:rsidR="00A32828" w:rsidRPr="00BB03AC" w:rsidRDefault="002E3BC2" w:rsidP="00A74FA1">
      <w:pPr>
        <w:pStyle w:val="ListBullet"/>
      </w:pPr>
      <w:r w:rsidRPr="00BB03AC">
        <w:t>e</w:t>
      </w:r>
      <w:r w:rsidR="00A32828" w:rsidRPr="00BB03AC">
        <w:t>nsure all students are given</w:t>
      </w:r>
      <w:r w:rsidR="00670D2B" w:rsidRPr="00BB03AC">
        <w:t xml:space="preserve"> an</w:t>
      </w:r>
      <w:r w:rsidR="00A32828" w:rsidRPr="00BB03AC">
        <w:t xml:space="preserve"> age and culturally appropriate </w:t>
      </w:r>
      <w:r w:rsidR="00670D2B" w:rsidRPr="00BB03AC">
        <w:t xml:space="preserve">orientation and an accurate and up-to-date Student </w:t>
      </w:r>
      <w:r w:rsidR="00E9202C" w:rsidRPr="00BB03AC">
        <w:t>S</w:t>
      </w:r>
      <w:r w:rsidR="00670D2B" w:rsidRPr="00BB03AC">
        <w:t>afety Card a</w:t>
      </w:r>
      <w:r w:rsidRPr="00BB03AC">
        <w:t>s per the ISP Orientation Pack</w:t>
      </w:r>
    </w:p>
    <w:p w14:paraId="12C14F8A" w14:textId="45A0329E" w:rsidR="00A74FA1" w:rsidRPr="00BB03AC" w:rsidRDefault="002E3BC2" w:rsidP="00A74FA1">
      <w:pPr>
        <w:pStyle w:val="ListBullet"/>
      </w:pPr>
      <w:r w:rsidRPr="00BB03AC">
        <w:t>o</w:t>
      </w:r>
      <w:r w:rsidR="00A74FA1" w:rsidRPr="00BB03AC">
        <w:t xml:space="preserve">btain permission from the guardian to monitor the relevant guardian visa through </w:t>
      </w:r>
      <w:r w:rsidR="00A27603" w:rsidRPr="00BB03AC">
        <w:fldChar w:fldCharType="begin"/>
      </w:r>
      <w:r w:rsidR="00A27603" w:rsidRPr="00BB03AC">
        <w:instrText xml:space="preserve"> HYPERLINK "https://immi.homeaffairs.gov.au/visas/already-have-a-visa/check-visa-details-and-conditions/check-conditions-online" </w:instrText>
      </w:r>
      <w:r w:rsidR="00A27603" w:rsidRPr="00BB03AC">
        <w:fldChar w:fldCharType="separate"/>
      </w:r>
      <w:r w:rsidR="00A27603" w:rsidRPr="00BB03AC">
        <w:rPr>
          <w:rStyle w:val="Hyperlink"/>
        </w:rPr>
        <w:t>Check visa conditions online (</w:t>
      </w:r>
      <w:r w:rsidR="00A74FA1" w:rsidRPr="00BB03AC">
        <w:rPr>
          <w:rStyle w:val="Hyperlink"/>
        </w:rPr>
        <w:t>VEVO</w:t>
      </w:r>
      <w:r w:rsidR="00A27603" w:rsidRPr="00BB03AC">
        <w:rPr>
          <w:rStyle w:val="Hyperlink"/>
        </w:rPr>
        <w:t>)</w:t>
      </w:r>
      <w:r w:rsidR="00A27603" w:rsidRPr="00BB03AC">
        <w:fldChar w:fldCharType="end"/>
      </w:r>
      <w:r w:rsidR="00A74FA1" w:rsidRPr="00BB03AC">
        <w:t xml:space="preserve"> to ensure it is not cancelled or revoked</w:t>
      </w:r>
      <w:r w:rsidRPr="00BB03AC">
        <w:t xml:space="preserve"> during the student’s enrolment</w:t>
      </w:r>
    </w:p>
    <w:p w14:paraId="1D152ACA" w14:textId="56705CF4" w:rsidR="00A32828" w:rsidRPr="00BB03AC" w:rsidRDefault="002E3BC2" w:rsidP="00C75B05">
      <w:pPr>
        <w:pStyle w:val="ListBullet"/>
      </w:pPr>
      <w:r w:rsidRPr="00BB03AC">
        <w:t>f</w:t>
      </w:r>
      <w:r w:rsidR="00A74FA1" w:rsidRPr="00BB03AC">
        <w:t xml:space="preserve">ormally facilitate any change in welfare arrangements if </w:t>
      </w:r>
      <w:r w:rsidR="00A32828" w:rsidRPr="00BB03AC">
        <w:t>there are any changes to the student’s accommo</w:t>
      </w:r>
      <w:r w:rsidRPr="00BB03AC">
        <w:t xml:space="preserve">dation and welfare </w:t>
      </w:r>
      <w:proofErr w:type="gramStart"/>
      <w:r w:rsidRPr="00BB03AC">
        <w:t>arrangements</w:t>
      </w:r>
      <w:proofErr w:type="gramEnd"/>
    </w:p>
    <w:p w14:paraId="50175010" w14:textId="4D251ECC" w:rsidR="00A74FA1" w:rsidRPr="00BB03AC" w:rsidRDefault="002E3BC2" w:rsidP="00C75B05">
      <w:pPr>
        <w:pStyle w:val="ListBullet"/>
      </w:pPr>
      <w:r w:rsidRPr="00BB03AC">
        <w:t>n</w:t>
      </w:r>
      <w:r w:rsidR="00A74FA1" w:rsidRPr="00BB03AC">
        <w:t>otify DE (IED) if there are any changes or concerns regarding the student’s welfare arrangements</w:t>
      </w:r>
    </w:p>
    <w:p w14:paraId="56B15F77" w14:textId="77BBFF46" w:rsidR="00514E6C" w:rsidRPr="00BB03AC" w:rsidRDefault="00514E6C" w:rsidP="00C75B05">
      <w:pPr>
        <w:pStyle w:val="ListBullet"/>
      </w:pPr>
      <w:r w:rsidRPr="00BB03AC">
        <w:rPr>
          <w:color w:val="333333"/>
        </w:rPr>
        <w:t>contact the parent or DHA</w:t>
      </w:r>
      <w:r w:rsidR="000712D5" w:rsidRPr="00BB03AC">
        <w:rPr>
          <w:color w:val="333333"/>
        </w:rPr>
        <w:t>-</w:t>
      </w:r>
      <w:r w:rsidRPr="00BB03AC">
        <w:rPr>
          <w:color w:val="333333"/>
        </w:rPr>
        <w:t xml:space="preserve">approved relative to make alternative accommodation arrangements </w:t>
      </w:r>
      <w:r w:rsidRPr="00BB03AC">
        <w:t>if an over 18 option 1 or 2 student is left alone</w:t>
      </w:r>
      <w:r w:rsidRPr="00BB03AC">
        <w:rPr>
          <w:color w:val="333333"/>
        </w:rPr>
        <w:t xml:space="preserve"> for </w:t>
      </w:r>
      <w:proofErr w:type="gramStart"/>
      <w:r w:rsidRPr="00BB03AC">
        <w:rPr>
          <w:color w:val="333333"/>
        </w:rPr>
        <w:t>a period of time</w:t>
      </w:r>
      <w:proofErr w:type="gramEnd"/>
      <w:r w:rsidRPr="00BB03AC">
        <w:rPr>
          <w:color w:val="333333"/>
        </w:rPr>
        <w:t xml:space="preserve"> and the student is not comfortable with being alone. </w:t>
      </w:r>
    </w:p>
    <w:p w14:paraId="6914CA8D" w14:textId="7EDA5001" w:rsidR="003C762D" w:rsidRPr="00BB03AC" w:rsidRDefault="003C762D" w:rsidP="00C75B05">
      <w:pPr>
        <w:pStyle w:val="ListBullet"/>
      </w:pPr>
      <w:r w:rsidRPr="00BB03AC">
        <w:t>maintain accurate and up</w:t>
      </w:r>
      <w:r w:rsidR="000B71CD" w:rsidRPr="00BB03AC">
        <w:t>-</w:t>
      </w:r>
      <w:r w:rsidRPr="00BB03AC">
        <w:t>to</w:t>
      </w:r>
      <w:r w:rsidR="000B71CD" w:rsidRPr="00BB03AC">
        <w:t>-</w:t>
      </w:r>
      <w:r w:rsidRPr="00BB03AC">
        <w:t xml:space="preserve">date accommodation details on CASES21 and VISIT. </w:t>
      </w:r>
    </w:p>
    <w:p w14:paraId="296756FF" w14:textId="77777777" w:rsidR="00A32828" w:rsidRPr="00BB03AC" w:rsidRDefault="00A32828" w:rsidP="00A32828">
      <w:pPr>
        <w:pStyle w:val="Heading3"/>
        <w:numPr>
          <w:ilvl w:val="2"/>
          <w:numId w:val="30"/>
        </w:numPr>
      </w:pPr>
      <w:r w:rsidRPr="00BB03AC">
        <w:t>Reporting</w:t>
      </w:r>
    </w:p>
    <w:p w14:paraId="7C813EAA" w14:textId="183C3C7D" w:rsidR="00A32828" w:rsidRPr="00BB03AC" w:rsidRDefault="00A32828" w:rsidP="00A32828">
      <w:pPr>
        <w:pStyle w:val="BodyText"/>
      </w:pPr>
      <w:r w:rsidRPr="00BB03AC">
        <w:t>DE (IED) must:</w:t>
      </w:r>
    </w:p>
    <w:p w14:paraId="64FB8712" w14:textId="59E95735" w:rsidR="000B71CD" w:rsidRPr="00BB03AC" w:rsidRDefault="002E3BC2" w:rsidP="00A32828">
      <w:pPr>
        <w:pStyle w:val="ListBullet"/>
        <w:numPr>
          <w:ilvl w:val="0"/>
          <w:numId w:val="23"/>
        </w:numPr>
      </w:pPr>
      <w:r w:rsidRPr="00BB03AC">
        <w:t>w</w:t>
      </w:r>
      <w:r w:rsidR="00A32828" w:rsidRPr="00BB03AC">
        <w:t xml:space="preserve">ork cooperatively with other Government agencies including DHA and other relevant Divisions within </w:t>
      </w:r>
      <w:r w:rsidR="000B71CD" w:rsidRPr="00BB03AC">
        <w:t xml:space="preserve">the department </w:t>
      </w:r>
      <w:r w:rsidR="00A32828" w:rsidRPr="00BB03AC">
        <w:t xml:space="preserve">on issues related to student </w:t>
      </w:r>
      <w:proofErr w:type="gramStart"/>
      <w:r w:rsidR="00A32828" w:rsidRPr="00BB03AC">
        <w:t>welfare</w:t>
      </w:r>
      <w:proofErr w:type="gramEnd"/>
    </w:p>
    <w:p w14:paraId="054DEB49" w14:textId="598426AE" w:rsidR="00A32828" w:rsidRPr="00BB03AC" w:rsidRDefault="00A32828" w:rsidP="00A32828">
      <w:pPr>
        <w:pStyle w:val="ListBullet"/>
      </w:pPr>
      <w:r w:rsidRPr="00BB03AC">
        <w:t>satisfy all reporting obligations</w:t>
      </w:r>
      <w:r w:rsidR="000B71CD" w:rsidRPr="00BB03AC">
        <w:t xml:space="preserve"> </w:t>
      </w:r>
    </w:p>
    <w:p w14:paraId="1947F5D0" w14:textId="77777777" w:rsidR="00A32828" w:rsidRPr="00BB03AC" w:rsidRDefault="00A32828" w:rsidP="00A32828">
      <w:pPr>
        <w:pStyle w:val="BodyText"/>
      </w:pPr>
      <w:r w:rsidRPr="00BB03AC">
        <w:lastRenderedPageBreak/>
        <w:t>Schools must:</w:t>
      </w:r>
    </w:p>
    <w:p w14:paraId="78ADD911" w14:textId="2C04F2CD" w:rsidR="001D666D" w:rsidRPr="00BB03AC" w:rsidRDefault="002E3BC2" w:rsidP="001D666D">
      <w:pPr>
        <w:pStyle w:val="ListBullet"/>
      </w:pPr>
      <w:r w:rsidRPr="00BB03AC">
        <w:t>i</w:t>
      </w:r>
      <w:r w:rsidR="00A32828" w:rsidRPr="00BB03AC">
        <w:t>mmediately raise any issues related to student welfare and</w:t>
      </w:r>
      <w:r w:rsidR="001D666D" w:rsidRPr="00BB03AC">
        <w:t xml:space="preserve"> visa conditions DE (IED).</w:t>
      </w:r>
    </w:p>
    <w:p w14:paraId="36A98012" w14:textId="525517FD" w:rsidR="001D666D" w:rsidRPr="00BB03AC" w:rsidRDefault="00352F7A" w:rsidP="001D666D">
      <w:pPr>
        <w:pStyle w:val="Heading2"/>
        <w:numPr>
          <w:ilvl w:val="1"/>
          <w:numId w:val="30"/>
        </w:numPr>
      </w:pPr>
      <w:r w:rsidRPr="00BB03AC">
        <w:t>Roles and r</w:t>
      </w:r>
      <w:r w:rsidR="001D666D" w:rsidRPr="00BB03AC">
        <w:t>esponsibilities</w:t>
      </w:r>
    </w:p>
    <w:p w14:paraId="1FA314EC" w14:textId="54E36409" w:rsidR="001D666D" w:rsidRPr="00BB03AC" w:rsidRDefault="001D666D" w:rsidP="001D666D">
      <w:pPr>
        <w:pStyle w:val="ListBullet"/>
        <w:numPr>
          <w:ilvl w:val="0"/>
          <w:numId w:val="23"/>
        </w:numPr>
      </w:pPr>
      <w:r w:rsidRPr="00BB03AC">
        <w:t xml:space="preserve">The </w:t>
      </w:r>
      <w:r w:rsidRPr="00BB03AC">
        <w:rPr>
          <w:b/>
        </w:rPr>
        <w:t>Executive Director, IED</w:t>
      </w:r>
      <w:r w:rsidRPr="00BB03AC">
        <w:t xml:space="preserve"> is responsible for approving this policy. The </w:t>
      </w:r>
      <w:r w:rsidRPr="00BB03AC">
        <w:rPr>
          <w:b/>
        </w:rPr>
        <w:t>Executive Director, IED</w:t>
      </w:r>
      <w:r w:rsidRPr="00BB03AC">
        <w:t xml:space="preserve"> is responsible for </w:t>
      </w:r>
      <w:proofErr w:type="gramStart"/>
      <w:r w:rsidRPr="00BB03AC">
        <w:t>taking action</w:t>
      </w:r>
      <w:proofErr w:type="gramEnd"/>
      <w:r w:rsidRPr="00BB03AC">
        <w:t xml:space="preserve"> under the critical incident management procedure, </w:t>
      </w:r>
      <w:r w:rsidR="000712D5" w:rsidRPr="00BB03AC">
        <w:t xml:space="preserve">and </w:t>
      </w:r>
      <w:r w:rsidRPr="00BB03AC">
        <w:t>where required, making a decision to suspend or cancel a student’s enrolment and making a decision where DE (IED) no longer approves of the accommodation and/or welfare arrangements in place for</w:t>
      </w:r>
      <w:r w:rsidR="00A50AF8" w:rsidRPr="00BB03AC">
        <w:t xml:space="preserve"> the</w:t>
      </w:r>
      <w:r w:rsidRPr="00BB03AC">
        <w:t xml:space="preserve"> student.</w:t>
      </w:r>
    </w:p>
    <w:p w14:paraId="4E66682B" w14:textId="77777777" w:rsidR="001D666D" w:rsidRPr="00BB03AC" w:rsidRDefault="001D666D" w:rsidP="001D666D">
      <w:pPr>
        <w:pStyle w:val="Heading2"/>
        <w:numPr>
          <w:ilvl w:val="1"/>
          <w:numId w:val="30"/>
        </w:numPr>
      </w:pPr>
      <w:r w:rsidRPr="00BB03AC">
        <w:t xml:space="preserve">Legislation </w:t>
      </w:r>
    </w:p>
    <w:p w14:paraId="49B70992" w14:textId="77777777" w:rsidR="001D666D" w:rsidRPr="00BB03AC" w:rsidRDefault="00804378" w:rsidP="001D666D">
      <w:pPr>
        <w:pStyle w:val="ListBullet"/>
        <w:numPr>
          <w:ilvl w:val="0"/>
          <w:numId w:val="23"/>
        </w:numPr>
        <w:rPr>
          <w:i/>
        </w:rPr>
      </w:pPr>
      <w:hyperlink r:id="rId17" w:history="1">
        <w:r w:rsidR="001D666D" w:rsidRPr="00BB03AC">
          <w:rPr>
            <w:i/>
          </w:rPr>
          <w:t>Education Services and Overseas Students Act 2000</w:t>
        </w:r>
        <w:r w:rsidR="001D666D" w:rsidRPr="00BB03AC">
          <w:t xml:space="preserve"> (</w:t>
        </w:r>
        <w:proofErr w:type="spellStart"/>
        <w:r w:rsidR="001D666D" w:rsidRPr="00BB03AC">
          <w:t>Cth</w:t>
        </w:r>
        <w:proofErr w:type="spellEnd"/>
        <w:r w:rsidR="001D666D" w:rsidRPr="00BB03AC">
          <w:t>)</w:t>
        </w:r>
      </w:hyperlink>
    </w:p>
    <w:p w14:paraId="0DF6F89D" w14:textId="77777777" w:rsidR="001D666D" w:rsidRPr="00BB03AC" w:rsidRDefault="00804378" w:rsidP="001D666D">
      <w:pPr>
        <w:pStyle w:val="ListBullet"/>
        <w:numPr>
          <w:ilvl w:val="0"/>
          <w:numId w:val="23"/>
        </w:numPr>
        <w:rPr>
          <w:i/>
        </w:rPr>
      </w:pPr>
      <w:hyperlink r:id="rId18" w:history="1">
        <w:r w:rsidR="001D666D" w:rsidRPr="00BB03AC">
          <w:rPr>
            <w:i/>
          </w:rPr>
          <w:t xml:space="preserve">The National Code of Practice for Providers of Education and Training to Overseas Students 2018 </w:t>
        </w:r>
        <w:r w:rsidR="001D666D" w:rsidRPr="00BB03AC">
          <w:t>(</w:t>
        </w:r>
        <w:proofErr w:type="spellStart"/>
        <w:r w:rsidR="001D666D" w:rsidRPr="00BB03AC">
          <w:t>Cth</w:t>
        </w:r>
        <w:proofErr w:type="spellEnd"/>
        <w:r w:rsidR="001D666D" w:rsidRPr="00BB03AC">
          <w:t>)</w:t>
        </w:r>
      </w:hyperlink>
    </w:p>
    <w:p w14:paraId="56AC58F4" w14:textId="77777777" w:rsidR="001D666D" w:rsidRPr="00BB03AC" w:rsidRDefault="001D666D" w:rsidP="001D666D">
      <w:pPr>
        <w:pStyle w:val="ListBullet"/>
        <w:numPr>
          <w:ilvl w:val="0"/>
          <w:numId w:val="23"/>
        </w:numPr>
        <w:rPr>
          <w:i/>
        </w:rPr>
      </w:pPr>
      <w:r w:rsidRPr="00BB03AC">
        <w:rPr>
          <w:i/>
        </w:rPr>
        <w:t xml:space="preserve">Migration Act 1958 </w:t>
      </w:r>
      <w:r w:rsidRPr="00BB03AC">
        <w:t>(</w:t>
      </w:r>
      <w:proofErr w:type="spellStart"/>
      <w:r w:rsidRPr="00BB03AC">
        <w:t>Cth</w:t>
      </w:r>
      <w:proofErr w:type="spellEnd"/>
      <w:r w:rsidRPr="00BB03AC">
        <w:t>)</w:t>
      </w:r>
    </w:p>
    <w:p w14:paraId="2CDD7224" w14:textId="77777777" w:rsidR="001D666D" w:rsidRPr="00BB03AC" w:rsidRDefault="001D666D" w:rsidP="001D666D">
      <w:pPr>
        <w:pStyle w:val="ListBullet"/>
        <w:numPr>
          <w:ilvl w:val="0"/>
          <w:numId w:val="23"/>
        </w:numPr>
        <w:rPr>
          <w:i/>
        </w:rPr>
      </w:pPr>
      <w:r w:rsidRPr="00BB03AC">
        <w:rPr>
          <w:i/>
        </w:rPr>
        <w:t xml:space="preserve">Education Services for Overseas Students Regulations 2001 </w:t>
      </w:r>
      <w:r w:rsidRPr="00BB03AC">
        <w:t>(</w:t>
      </w:r>
      <w:proofErr w:type="spellStart"/>
      <w:r w:rsidRPr="00BB03AC">
        <w:t>Cth</w:t>
      </w:r>
      <w:proofErr w:type="spellEnd"/>
      <w:r w:rsidRPr="00BB03AC">
        <w:t>)</w:t>
      </w:r>
    </w:p>
    <w:p w14:paraId="40C60BC1" w14:textId="77777777" w:rsidR="00C74600" w:rsidRPr="00BB03AC" w:rsidRDefault="00C74600" w:rsidP="00C74600">
      <w:pPr>
        <w:pStyle w:val="ListBullet"/>
        <w:numPr>
          <w:ilvl w:val="0"/>
          <w:numId w:val="23"/>
        </w:numPr>
      </w:pPr>
      <w:r w:rsidRPr="00BB03AC">
        <w:rPr>
          <w:i/>
        </w:rPr>
        <w:t>Education and Training Reform Act 2006</w:t>
      </w:r>
      <w:r w:rsidRPr="00BB03AC">
        <w:t xml:space="preserve"> (Vic)</w:t>
      </w:r>
    </w:p>
    <w:p w14:paraId="643A825F" w14:textId="77777777" w:rsidR="00DD4BC5" w:rsidRPr="00BB03AC" w:rsidRDefault="00DD4BC5" w:rsidP="00DD4BC5">
      <w:pPr>
        <w:pStyle w:val="ListBullet"/>
        <w:numPr>
          <w:ilvl w:val="0"/>
          <w:numId w:val="23"/>
        </w:numPr>
      </w:pPr>
      <w:r w:rsidRPr="00BB03AC">
        <w:rPr>
          <w:i/>
        </w:rPr>
        <w:t xml:space="preserve">Ministerial Order 819 – Fees for Overseas Students in Government Schools </w:t>
      </w:r>
      <w:r w:rsidRPr="00BB03AC">
        <w:t>(Vic)</w:t>
      </w:r>
    </w:p>
    <w:p w14:paraId="33A86256" w14:textId="328184A3" w:rsidR="00DD4BC5" w:rsidRPr="00BB03AC" w:rsidRDefault="00DD4BC5" w:rsidP="00DD4BC5">
      <w:pPr>
        <w:pStyle w:val="ListBullet"/>
        <w:numPr>
          <w:ilvl w:val="0"/>
          <w:numId w:val="23"/>
        </w:numPr>
      </w:pPr>
      <w:r w:rsidRPr="00BB03AC">
        <w:rPr>
          <w:i/>
        </w:rPr>
        <w:t xml:space="preserve">Ministerial Order </w:t>
      </w:r>
      <w:r w:rsidR="004632EF" w:rsidRPr="00BB03AC">
        <w:rPr>
          <w:i/>
        </w:rPr>
        <w:t>1359</w:t>
      </w:r>
      <w:r w:rsidRPr="00BB03AC">
        <w:rPr>
          <w:i/>
        </w:rPr>
        <w:t xml:space="preserve"> – Child Safe Standards</w:t>
      </w:r>
      <w:r w:rsidRPr="00BB03AC">
        <w:t xml:space="preserve"> (Vic)</w:t>
      </w:r>
    </w:p>
    <w:p w14:paraId="51E1063C" w14:textId="43A90A14" w:rsidR="001D666D" w:rsidRPr="00BB03AC" w:rsidRDefault="001D666D" w:rsidP="00DD4BC5">
      <w:pPr>
        <w:pStyle w:val="ListBullet"/>
        <w:numPr>
          <w:ilvl w:val="0"/>
          <w:numId w:val="23"/>
        </w:numPr>
      </w:pPr>
      <w:r w:rsidRPr="00BB03AC">
        <w:t xml:space="preserve">VRQA Guidelines for the Enrolment of Overseas Students Aged Under 18 Years </w:t>
      </w:r>
    </w:p>
    <w:p w14:paraId="34987E5A" w14:textId="7C439E42" w:rsidR="00DD4BC5" w:rsidRPr="00BB03AC" w:rsidRDefault="00DD4BC5" w:rsidP="00DD4BC5">
      <w:pPr>
        <w:pStyle w:val="ListBullet"/>
        <w:numPr>
          <w:ilvl w:val="0"/>
          <w:numId w:val="23"/>
        </w:numPr>
        <w:rPr>
          <w:i/>
        </w:rPr>
      </w:pPr>
      <w:r w:rsidRPr="00BB03AC">
        <w:t>Victorian Child Safe Standards as per the</w:t>
      </w:r>
      <w:r w:rsidR="00FE6E69" w:rsidRPr="00BB03AC">
        <w:t xml:space="preserve"> </w:t>
      </w:r>
      <w:r w:rsidR="00FE6E69" w:rsidRPr="00BB03AC">
        <w:rPr>
          <w:i/>
        </w:rPr>
        <w:t xml:space="preserve">Child Wellbeing and Safety Act </w:t>
      </w:r>
      <w:r w:rsidRPr="00BB03AC">
        <w:rPr>
          <w:i/>
        </w:rPr>
        <w:t>2005</w:t>
      </w:r>
      <w:r w:rsidR="00FE6E69" w:rsidRPr="00BB03AC">
        <w:rPr>
          <w:i/>
        </w:rPr>
        <w:t xml:space="preserve"> </w:t>
      </w:r>
      <w:r w:rsidRPr="00BB03AC">
        <w:t>(Vic)</w:t>
      </w:r>
    </w:p>
    <w:p w14:paraId="59340C46" w14:textId="44B6F424" w:rsidR="00DD4BC5" w:rsidRPr="00BB03AC" w:rsidRDefault="00DD4BC5" w:rsidP="00DD4BC5">
      <w:pPr>
        <w:pStyle w:val="ListBullet"/>
        <w:numPr>
          <w:ilvl w:val="0"/>
          <w:numId w:val="23"/>
        </w:numPr>
        <w:rPr>
          <w:i/>
        </w:rPr>
      </w:pPr>
      <w:r w:rsidRPr="00BB03AC">
        <w:t>Commissioner for Children and Young People Reportable Condu</w:t>
      </w:r>
      <w:r w:rsidR="00FE6E69" w:rsidRPr="00BB03AC">
        <w:t xml:space="preserve">ct Scheme established under the </w:t>
      </w:r>
      <w:r w:rsidRPr="00BB03AC">
        <w:rPr>
          <w:i/>
        </w:rPr>
        <w:t>Child Wellbeing and Safety Act 2005</w:t>
      </w:r>
      <w:r w:rsidR="00FE6E69" w:rsidRPr="00BB03AC">
        <w:rPr>
          <w:i/>
        </w:rPr>
        <w:t xml:space="preserve"> </w:t>
      </w:r>
      <w:r w:rsidRPr="00BB03AC">
        <w:t>(Vic)</w:t>
      </w:r>
    </w:p>
    <w:p w14:paraId="11C9636D" w14:textId="3F3E2DCA" w:rsidR="001D666D" w:rsidRPr="00BB03AC" w:rsidRDefault="00352F7A" w:rsidP="00DD4BC5">
      <w:pPr>
        <w:pStyle w:val="Heading2"/>
        <w:numPr>
          <w:ilvl w:val="1"/>
          <w:numId w:val="30"/>
        </w:numPr>
      </w:pPr>
      <w:r w:rsidRPr="00BB03AC">
        <w:t>Associated d</w:t>
      </w:r>
      <w:r w:rsidR="001D666D" w:rsidRPr="00BB03AC">
        <w:t>ocuments</w:t>
      </w:r>
    </w:p>
    <w:p w14:paraId="4FCF804F" w14:textId="77777777" w:rsidR="004632EF" w:rsidRPr="00BB03AC" w:rsidRDefault="004632EF" w:rsidP="00C74600">
      <w:pPr>
        <w:pStyle w:val="ListBullet"/>
        <w:numPr>
          <w:ilvl w:val="0"/>
          <w:numId w:val="23"/>
        </w:numPr>
      </w:pPr>
      <w:r w:rsidRPr="00BB03AC">
        <w:fldChar w:fldCharType="begin"/>
      </w:r>
      <w:r w:rsidRPr="00BB03AC">
        <w:instrText xml:space="preserve"> HYPERLINK "https://www2.education.vic.gov.au/pal/reporting-and-managing-school-incidents-including-emergencies/policy" </w:instrText>
      </w:r>
      <w:r w:rsidRPr="00BB03AC">
        <w:fldChar w:fldCharType="separate"/>
      </w:r>
      <w:r w:rsidRPr="00BB03AC">
        <w:rPr>
          <w:rStyle w:val="Hyperlink"/>
        </w:rPr>
        <w:t>Managing and Reporting School Incidents (including emergencies)</w:t>
      </w:r>
      <w:r w:rsidRPr="00BB03AC">
        <w:fldChar w:fldCharType="end"/>
      </w:r>
    </w:p>
    <w:p w14:paraId="449CA1FA" w14:textId="7D3405CD" w:rsidR="00C74600" w:rsidRPr="00BB03AC" w:rsidRDefault="00804378" w:rsidP="00C74600">
      <w:pPr>
        <w:pStyle w:val="ListBullet"/>
        <w:numPr>
          <w:ilvl w:val="0"/>
          <w:numId w:val="23"/>
        </w:numPr>
      </w:pPr>
      <w:hyperlink r:id="rId19" w:history="1">
        <w:r w:rsidR="00047508" w:rsidRPr="00BB03AC">
          <w:rPr>
            <w:rStyle w:val="Hyperlink"/>
          </w:rPr>
          <w:t>ISP Homestay Policy</w:t>
        </w:r>
      </w:hyperlink>
      <w:r w:rsidR="00C74600" w:rsidRPr="00BB03AC">
        <w:t xml:space="preserve"> </w:t>
      </w:r>
    </w:p>
    <w:p w14:paraId="49AB6218" w14:textId="56E30620" w:rsidR="001D666D" w:rsidRPr="00804378" w:rsidRDefault="00804378" w:rsidP="001D666D">
      <w:pPr>
        <w:pStyle w:val="ListBullet"/>
        <w:numPr>
          <w:ilvl w:val="0"/>
          <w:numId w:val="23"/>
        </w:numPr>
        <w:rPr>
          <w:rStyle w:val="Hyperlink"/>
          <w:color w:val="404040" w:themeColor="text1" w:themeTint="BF"/>
          <w:u w:val="none"/>
        </w:rPr>
      </w:pPr>
      <w:hyperlink r:id="rId20" w:history="1">
        <w:r w:rsidR="001D666D" w:rsidRPr="00BB03AC">
          <w:rPr>
            <w:rStyle w:val="Hyperlink"/>
          </w:rPr>
          <w:t>ISP Homestay Procedure</w:t>
        </w:r>
      </w:hyperlink>
    </w:p>
    <w:p w14:paraId="5E6ED436" w14:textId="3E502663" w:rsidR="00D71D76" w:rsidRPr="00BB03AC" w:rsidRDefault="00D71D76" w:rsidP="001D666D">
      <w:pPr>
        <w:pStyle w:val="ListBullet"/>
        <w:numPr>
          <w:ilvl w:val="0"/>
          <w:numId w:val="23"/>
        </w:numPr>
      </w:pPr>
      <w:r w:rsidRPr="00BB03AC">
        <w:fldChar w:fldCharType="begin"/>
      </w:r>
      <w:r w:rsidRPr="00BB03AC">
        <w:instrText xml:space="preserve"> HYPERLINK "https://aus01.safelinks.protection.outlook.com/?url=https%3A%2F%2Fstudy.vic.gov.au%2FShared%2520Documents%2Fen%2FSchool_Toolkit%2FIndependent%2520Living%2520Assessment%2520Checklist.docx&amp;data=05%7C01%7CAndrew.Barrett%40education.vic.gov.au%7C69bb4460a9f2435f74b308dac05864ce%7Cd96cb3371a8744cfb69b3cec334a4c1f%7C0%7C0%7C638033783150328925%7CUnknown%7CTWFpbGZsb3d8eyJWIjoiMC4wLjAwMDAiLCJQIjoiV2luMzIiLCJBTiI6Ik1haWwiLCJXVCI6Mn0%3D%7C3000%7C%7C%7C&amp;sdata=8s41sZYLm89%2Bwtkh3tRl4Q2lgs87Bl%2FNHRDJF3KxFRk%3D&amp;reserved=0" </w:instrText>
      </w:r>
      <w:r w:rsidRPr="00BB03AC">
        <w:fldChar w:fldCharType="separate"/>
      </w:r>
      <w:r w:rsidRPr="00BB03AC">
        <w:rPr>
          <w:rStyle w:val="Hyperlink"/>
        </w:rPr>
        <w:t>Independent Living Assessment Checklist</w:t>
      </w:r>
      <w:r w:rsidRPr="00BB03AC">
        <w:fldChar w:fldCharType="end"/>
      </w:r>
    </w:p>
    <w:p w14:paraId="14A1BF99" w14:textId="5D0CF3DC" w:rsidR="001D666D" w:rsidRPr="00BB03AC" w:rsidRDefault="00804378" w:rsidP="001D666D">
      <w:pPr>
        <w:pStyle w:val="ListBullet"/>
        <w:numPr>
          <w:ilvl w:val="0"/>
          <w:numId w:val="23"/>
        </w:numPr>
      </w:pPr>
      <w:hyperlink r:id="rId21" w:history="1">
        <w:r w:rsidR="000C10C8" w:rsidRPr="00BB03AC">
          <w:rPr>
            <w:rStyle w:val="Hyperlink"/>
          </w:rPr>
          <w:t>ISP Admissions and Enrolment P</w:t>
        </w:r>
        <w:r w:rsidR="001D666D" w:rsidRPr="00BB03AC">
          <w:rPr>
            <w:rStyle w:val="Hyperlink"/>
          </w:rPr>
          <w:t>rocedure</w:t>
        </w:r>
      </w:hyperlink>
      <w:r w:rsidR="001D666D" w:rsidRPr="00BB03AC">
        <w:t xml:space="preserve"> </w:t>
      </w:r>
    </w:p>
    <w:p w14:paraId="1C401884" w14:textId="77777777" w:rsidR="001D666D" w:rsidRPr="00BB03AC" w:rsidRDefault="001D666D" w:rsidP="001D666D">
      <w:pPr>
        <w:pStyle w:val="Heading2"/>
        <w:numPr>
          <w:ilvl w:val="1"/>
          <w:numId w:val="30"/>
        </w:numPr>
      </w:pPr>
      <w:r w:rsidRPr="00BB03AC">
        <w:t>Definitions</w:t>
      </w:r>
    </w:p>
    <w:p w14:paraId="77578F3F" w14:textId="33281B3A" w:rsidR="001D666D" w:rsidRPr="00BB03AC" w:rsidRDefault="001D666D" w:rsidP="001D666D">
      <w:pPr>
        <w:pStyle w:val="ListBullet"/>
        <w:numPr>
          <w:ilvl w:val="0"/>
          <w:numId w:val="41"/>
        </w:numPr>
      </w:pPr>
      <w:r w:rsidRPr="00BB03AC">
        <w:rPr>
          <w:b/>
          <w:bCs/>
        </w:rPr>
        <w:t>DE (IED)</w:t>
      </w:r>
      <w:r w:rsidRPr="00BB03AC">
        <w:t xml:space="preserve"> – Department of Education– International Education Division. IED is the division in the Department of Education that administers the International Student Program in Victorian government schools. IED is not a separate entity to DE. DE is the CRICOS registered provider.</w:t>
      </w:r>
    </w:p>
    <w:p w14:paraId="574F784D" w14:textId="0B5AF458" w:rsidR="00FC645D" w:rsidRPr="00BB03AC" w:rsidRDefault="00FC645D" w:rsidP="00FC645D">
      <w:pPr>
        <w:pStyle w:val="ListBullet"/>
        <w:numPr>
          <w:ilvl w:val="0"/>
          <w:numId w:val="41"/>
        </w:numPr>
      </w:pPr>
      <w:r w:rsidRPr="00BB03AC">
        <w:rPr>
          <w:b/>
        </w:rPr>
        <w:t>School staff</w:t>
      </w:r>
      <w:r w:rsidRPr="00BB03AC">
        <w:t xml:space="preserve"> – employees of schools, for example – International Student Coordinator, Homestay Coordinator, Head of Department, </w:t>
      </w:r>
      <w:r w:rsidR="00420B8B" w:rsidRPr="00804378">
        <w:t>d</w:t>
      </w:r>
      <w:r w:rsidR="00420B8B" w:rsidRPr="00BB03AC">
        <w:t xml:space="preserve">eputy </w:t>
      </w:r>
      <w:r w:rsidR="00420B8B" w:rsidRPr="00804378">
        <w:t>p</w:t>
      </w:r>
      <w:r w:rsidR="00420B8B" w:rsidRPr="00BB03AC">
        <w:t>rincipal</w:t>
      </w:r>
      <w:r w:rsidRPr="00BB03AC">
        <w:t xml:space="preserve">, and </w:t>
      </w:r>
      <w:r w:rsidR="00420B8B" w:rsidRPr="00804378">
        <w:t>p</w:t>
      </w:r>
      <w:r w:rsidR="00420B8B" w:rsidRPr="00BB03AC">
        <w:t>rincipal</w:t>
      </w:r>
      <w:r w:rsidRPr="00BB03AC">
        <w:t>.</w:t>
      </w:r>
    </w:p>
    <w:p w14:paraId="0A189406" w14:textId="3B5C7B62" w:rsidR="00024404" w:rsidRPr="00BB03AC" w:rsidRDefault="00024404" w:rsidP="00024404">
      <w:pPr>
        <w:pStyle w:val="ListBullet"/>
        <w:numPr>
          <w:ilvl w:val="0"/>
          <w:numId w:val="41"/>
        </w:numPr>
      </w:pPr>
      <w:r w:rsidRPr="00BB03AC">
        <w:rPr>
          <w:b/>
        </w:rPr>
        <w:t xml:space="preserve">ISP staff - </w:t>
      </w:r>
      <w:r w:rsidRPr="00BB03AC">
        <w:t xml:space="preserve">includes the Executive Officers, </w:t>
      </w:r>
      <w:proofErr w:type="gramStart"/>
      <w:r w:rsidRPr="00BB03AC">
        <w:t>managers</w:t>
      </w:r>
      <w:proofErr w:type="gramEnd"/>
      <w:r w:rsidRPr="00BB03AC">
        <w:t xml:space="preserve"> and employees (full time, part time, ongoing, fixed term, casual and contractor) of DE who work directly or indirectly with the ISP. This excludes staff of ISP-accredited schools.</w:t>
      </w:r>
    </w:p>
    <w:p w14:paraId="66AB6B83" w14:textId="53665013" w:rsidR="001D666D" w:rsidRPr="00BB03AC" w:rsidRDefault="002E3BC2" w:rsidP="001D666D">
      <w:pPr>
        <w:pStyle w:val="ListBullet"/>
        <w:numPr>
          <w:ilvl w:val="0"/>
          <w:numId w:val="41"/>
        </w:numPr>
      </w:pPr>
      <w:r w:rsidRPr="00BB03AC">
        <w:rPr>
          <w:b/>
        </w:rPr>
        <w:t>International Student (student)</w:t>
      </w:r>
      <w:r w:rsidRPr="00BB03AC">
        <w:t xml:space="preserve"> – a student pa</w:t>
      </w:r>
      <w:r w:rsidR="00D2796F" w:rsidRPr="00BB03AC">
        <w:t>rticipating in the ISP under</w:t>
      </w:r>
      <w:r w:rsidRPr="00BB03AC">
        <w:t xml:space="preserve"> a subclass 500 Student – Schools </w:t>
      </w:r>
      <w:proofErr w:type="gramStart"/>
      <w:r w:rsidRPr="00BB03AC">
        <w:t>visa</w:t>
      </w:r>
      <w:proofErr w:type="gramEnd"/>
    </w:p>
    <w:p w14:paraId="561F1AC9" w14:textId="65F626E8" w:rsidR="002E3BC2" w:rsidRPr="00BB03AC" w:rsidRDefault="002E3BC2" w:rsidP="002E3BC2">
      <w:pPr>
        <w:pStyle w:val="ListBullet"/>
        <w:numPr>
          <w:ilvl w:val="0"/>
          <w:numId w:val="41"/>
        </w:numPr>
      </w:pPr>
      <w:r w:rsidRPr="00BB03AC">
        <w:rPr>
          <w:b/>
        </w:rPr>
        <w:t>Homestay</w:t>
      </w:r>
      <w:r w:rsidRPr="00BB03AC">
        <w:t xml:space="preserve"> – international student accommodation arranged by schools where DE (IED) is responsible for the welfare of the student at all times, including outside school hours.</w:t>
      </w:r>
    </w:p>
    <w:p w14:paraId="4B5F95FD" w14:textId="42727E90" w:rsidR="001D666D" w:rsidRPr="00BB03AC" w:rsidRDefault="001D666D" w:rsidP="001D666D">
      <w:pPr>
        <w:pStyle w:val="Heading2"/>
        <w:numPr>
          <w:ilvl w:val="1"/>
          <w:numId w:val="30"/>
        </w:numPr>
      </w:pPr>
      <w:r w:rsidRPr="00BB03AC">
        <w:t>Policy</w:t>
      </w:r>
      <w:r w:rsidR="00352F7A" w:rsidRPr="00BB03AC">
        <w:t xml:space="preserve"> </w:t>
      </w:r>
      <w:proofErr w:type="gramStart"/>
      <w:r w:rsidR="00352F7A" w:rsidRPr="00BB03AC">
        <w:t>contact</w:t>
      </w:r>
      <w:proofErr w:type="gramEnd"/>
      <w:r w:rsidR="00352F7A" w:rsidRPr="00BB03AC">
        <w:t xml:space="preserve"> and m</w:t>
      </w:r>
      <w:r w:rsidRPr="00BB03AC">
        <w:t xml:space="preserve">aintenance </w:t>
      </w:r>
      <w:r w:rsidR="00352F7A" w:rsidRPr="00BB03AC">
        <w:t>o</w:t>
      </w:r>
      <w:r w:rsidRPr="00BB03AC">
        <w:t>fficer</w:t>
      </w:r>
    </w:p>
    <w:p w14:paraId="1FCBD762" w14:textId="7D764E5B" w:rsidR="009C41BD" w:rsidRPr="00BB03AC" w:rsidRDefault="00246DFC" w:rsidP="001D666D">
      <w:pPr>
        <w:pStyle w:val="TableText"/>
      </w:pPr>
      <w:r w:rsidRPr="00BB03AC">
        <w:t>Manager, School Support Unit</w:t>
      </w:r>
    </w:p>
    <w:p w14:paraId="2D09F409" w14:textId="1A6E980C" w:rsidR="001D666D" w:rsidRPr="00BB03AC" w:rsidRDefault="001D666D" w:rsidP="001D666D">
      <w:pPr>
        <w:pStyle w:val="TableText"/>
      </w:pPr>
      <w:r w:rsidRPr="00BB03AC">
        <w:t>International Education Division</w:t>
      </w:r>
    </w:p>
    <w:p w14:paraId="71E3D109" w14:textId="3EA8FD9B" w:rsidR="001D666D" w:rsidRPr="00BB03AC" w:rsidRDefault="001D666D" w:rsidP="001D666D">
      <w:pPr>
        <w:pStyle w:val="TableText"/>
      </w:pPr>
      <w:r w:rsidRPr="00BB03AC">
        <w:t>Department of Education.</w:t>
      </w:r>
    </w:p>
    <w:p w14:paraId="37F76E3A" w14:textId="77777777" w:rsidR="00FD24EB" w:rsidRPr="00BB03AC" w:rsidRDefault="00FD24EB" w:rsidP="00FD24EB">
      <w:pPr>
        <w:pStyle w:val="Authorisationtext"/>
        <w:shd w:val="clear" w:color="auto" w:fill="auto"/>
      </w:pPr>
      <w:r w:rsidRPr="00BB03AC">
        <w:t>Level 28, 80 Collins Street, Melbourne, Victoria 3000</w:t>
      </w:r>
    </w:p>
    <w:p w14:paraId="1D249CCB" w14:textId="0C7A9703" w:rsidR="001D666D" w:rsidRPr="00BB03AC" w:rsidRDefault="001D666D" w:rsidP="001D666D">
      <w:pPr>
        <w:pStyle w:val="TableText"/>
      </w:pPr>
      <w:r w:rsidRPr="00BB03AC">
        <w:t xml:space="preserve">Email: </w:t>
      </w:r>
      <w:r w:rsidR="00DB282D" w:rsidRPr="00BB03AC">
        <w:fldChar w:fldCharType="begin"/>
      </w:r>
      <w:r w:rsidR="00DB282D" w:rsidRPr="00BB03AC">
        <w:instrText xml:space="preserve"> HYPERLINK "mailto:international.school.support@education.vic.gov.au" </w:instrText>
      </w:r>
      <w:r w:rsidR="00DB282D" w:rsidRPr="00BB03AC">
        <w:fldChar w:fldCharType="separate"/>
      </w:r>
      <w:r w:rsidR="00DB282D" w:rsidRPr="00BB03AC">
        <w:rPr>
          <w:rStyle w:val="Hyperlink"/>
        </w:rPr>
        <w:t>international.school.support@education.vic.gov.au</w:t>
      </w:r>
      <w:r w:rsidR="00DB282D" w:rsidRPr="00BB03AC">
        <w:fldChar w:fldCharType="end"/>
      </w:r>
    </w:p>
    <w:p w14:paraId="50CAE584" w14:textId="2181534B" w:rsidR="000C10C8" w:rsidRPr="00BB03AC" w:rsidRDefault="001D666D" w:rsidP="001D666D">
      <w:pPr>
        <w:pStyle w:val="TableText"/>
      </w:pPr>
      <w:r w:rsidRPr="00BB03AC">
        <w:t xml:space="preserve">Phone: </w:t>
      </w:r>
      <w:r w:rsidR="006E3476" w:rsidRPr="00BB03AC">
        <w:t xml:space="preserve">+61 </w:t>
      </w:r>
      <w:r w:rsidRPr="00BB03AC">
        <w:t>3 7022 1000</w:t>
      </w:r>
    </w:p>
    <w:p w14:paraId="7259EEE3" w14:textId="77777777" w:rsidR="000C10C8" w:rsidRPr="00BB03AC" w:rsidRDefault="000C10C8" w:rsidP="001D666D">
      <w:pPr>
        <w:pStyle w:val="TableText"/>
      </w:pPr>
    </w:p>
    <w:p w14:paraId="2F145AEC" w14:textId="220B95B6" w:rsidR="000C10C8" w:rsidRPr="00BB03AC" w:rsidRDefault="000C10C8" w:rsidP="000C10C8">
      <w:pPr>
        <w:pStyle w:val="Heading2"/>
        <w:numPr>
          <w:ilvl w:val="1"/>
          <w:numId w:val="30"/>
        </w:numPr>
        <w:shd w:val="clear" w:color="auto" w:fill="F2F2F2" w:themeFill="background1" w:themeFillShade="F2"/>
      </w:pPr>
      <w:r w:rsidRPr="00BB03AC">
        <w:lastRenderedPageBreak/>
        <w:t>Authorised</w:t>
      </w:r>
    </w:p>
    <w:p w14:paraId="077B1F69" w14:textId="77777777" w:rsidR="000C10C8" w:rsidRPr="00BB03AC" w:rsidRDefault="000C10C8" w:rsidP="000C10C8">
      <w:pPr>
        <w:pStyle w:val="Authorisationtext"/>
      </w:pPr>
      <w:r w:rsidRPr="00BB03AC">
        <w:t>Executive Director, International Education Division</w:t>
      </w:r>
    </w:p>
    <w:p w14:paraId="1970A36A" w14:textId="77777777" w:rsidR="000C10C8" w:rsidRPr="00BB03AC" w:rsidRDefault="000C10C8" w:rsidP="000C10C8">
      <w:pPr>
        <w:pStyle w:val="Authorisationtext"/>
      </w:pPr>
    </w:p>
    <w:p w14:paraId="31C28521" w14:textId="00CEF27B" w:rsidR="00C64183" w:rsidRDefault="000C10C8" w:rsidP="000C10C8">
      <w:pPr>
        <w:pStyle w:val="Authorisationtext"/>
        <w:tabs>
          <w:tab w:val="left" w:pos="1985"/>
        </w:tabs>
      </w:pPr>
      <w:r w:rsidRPr="00BB03AC">
        <w:rPr>
          <w:b/>
        </w:rPr>
        <w:t>Date of authorisation</w:t>
      </w:r>
      <w:r w:rsidRPr="00BB03AC">
        <w:t>:</w:t>
      </w:r>
      <w:r w:rsidRPr="00BB03AC">
        <w:tab/>
      </w:r>
      <w:r w:rsidR="00B84274">
        <w:t>29</w:t>
      </w:r>
      <w:r w:rsidR="002531D8" w:rsidRPr="00BB03AC">
        <w:t>/</w:t>
      </w:r>
      <w:r w:rsidR="00A625A3" w:rsidRPr="00BB03AC">
        <w:t>1</w:t>
      </w:r>
      <w:r w:rsidR="00B84274">
        <w:t>1</w:t>
      </w:r>
      <w:r w:rsidR="002531D8" w:rsidRPr="00BB03AC">
        <w:t>/20</w:t>
      </w:r>
      <w:r w:rsidR="00B84274">
        <w:t>19</w:t>
      </w:r>
    </w:p>
    <w:p w14:paraId="70FB36E8" w14:textId="25D34FFB" w:rsidR="000C10C8" w:rsidRPr="00BB03AC" w:rsidRDefault="00C64183" w:rsidP="000C10C8">
      <w:pPr>
        <w:pStyle w:val="Authorisationtext"/>
        <w:tabs>
          <w:tab w:val="left" w:pos="1985"/>
        </w:tabs>
      </w:pPr>
      <w:r w:rsidRPr="00804378">
        <w:rPr>
          <w:b/>
          <w:bCs/>
        </w:rPr>
        <w:t>Date last reviewed:</w:t>
      </w:r>
      <w:r w:rsidRPr="00804378">
        <w:rPr>
          <w:b/>
          <w:bCs/>
        </w:rPr>
        <w:tab/>
      </w:r>
      <w:proofErr w:type="gramStart"/>
      <w:r w:rsidR="008B1E4A">
        <w:t>07</w:t>
      </w:r>
      <w:r>
        <w:t>/</w:t>
      </w:r>
      <w:r w:rsidR="008B1E4A">
        <w:t>02</w:t>
      </w:r>
      <w:r>
        <w:t>/2024</w:t>
      </w:r>
      <w:proofErr w:type="gramEnd"/>
    </w:p>
    <w:p w14:paraId="7076578B" w14:textId="054B8A1E" w:rsidR="000C10C8" w:rsidRPr="00AD2439" w:rsidRDefault="000C10C8" w:rsidP="000C10C8">
      <w:pPr>
        <w:pStyle w:val="Authorisationtext"/>
        <w:tabs>
          <w:tab w:val="left" w:pos="1985"/>
        </w:tabs>
      </w:pPr>
      <w:r w:rsidRPr="00BB03AC">
        <w:rPr>
          <w:b/>
        </w:rPr>
        <w:t>Review frequency</w:t>
      </w:r>
      <w:r w:rsidRPr="00BB03AC">
        <w:t xml:space="preserve">: </w:t>
      </w:r>
      <w:r w:rsidRPr="00BB03AC">
        <w:tab/>
        <w:t xml:space="preserve">This policy will be reviewed at minimum </w:t>
      </w:r>
      <w:r w:rsidR="002E3BC2" w:rsidRPr="00BB03AC">
        <w:t xml:space="preserve">every </w:t>
      </w:r>
      <w:r w:rsidRPr="00BB03AC">
        <w:t xml:space="preserve">12 months or when any changes arise impacting its currency, </w:t>
      </w:r>
      <w:r w:rsidRPr="00BB03AC">
        <w:tab/>
        <w:t>including legislative or regulation change.</w:t>
      </w:r>
      <w:bookmarkEnd w:id="0"/>
      <w:bookmarkEnd w:id="1"/>
    </w:p>
    <w:sectPr w:rsidR="000C10C8" w:rsidRPr="00AD2439" w:rsidSect="009A20EC">
      <w:footerReference w:type="default" r:id="rId22"/>
      <w:headerReference w:type="first" r:id="rId23"/>
      <w:footerReference w:type="first" r:id="rId24"/>
      <w:type w:val="continuous"/>
      <w:pgSz w:w="11900" w:h="16840" w:code="9"/>
      <w:pgMar w:top="720" w:right="720" w:bottom="720" w:left="720" w:header="567" w:footer="12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AD63D" w14:textId="77777777" w:rsidR="00F36A90" w:rsidRDefault="00F36A90">
      <w:pPr>
        <w:spacing w:line="240" w:lineRule="auto"/>
      </w:pPr>
      <w:r>
        <w:separator/>
      </w:r>
    </w:p>
  </w:endnote>
  <w:endnote w:type="continuationSeparator" w:id="0">
    <w:p w14:paraId="774DD734" w14:textId="77777777" w:rsidR="00F36A90" w:rsidRDefault="00F36A90">
      <w:pPr>
        <w:spacing w:line="240" w:lineRule="auto"/>
      </w:pPr>
      <w:r>
        <w:continuationSeparator/>
      </w:r>
    </w:p>
  </w:endnote>
  <w:endnote w:type="continuationNotice" w:id="1">
    <w:p w14:paraId="126591D1" w14:textId="77777777" w:rsidR="00F36A90" w:rsidRDefault="00F36A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altName w:val="MS Gothic"/>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C461" w14:textId="77777777" w:rsidR="000E108D" w:rsidRPr="00394CF6" w:rsidRDefault="000E108D" w:rsidP="00394CF6">
    <w:pPr>
      <w:pStyle w:val="Header"/>
      <w:rPr>
        <w:rFonts w:cs="Arial"/>
        <w:color w:val="7F7F7F" w:themeColor="text1" w:themeTint="80"/>
        <w:sz w:val="16"/>
        <w:szCs w:val="16"/>
      </w:rPr>
    </w:pPr>
  </w:p>
  <w:p w14:paraId="3C14B082" w14:textId="77777777" w:rsidR="00C64183" w:rsidRPr="00437D5A" w:rsidRDefault="00C64183" w:rsidP="00C64183">
    <w:pPr>
      <w:pStyle w:val="Footer"/>
      <w:tabs>
        <w:tab w:val="clear" w:pos="10348"/>
        <w:tab w:val="right" w:pos="10460"/>
      </w:tabs>
    </w:pPr>
    <w:r w:rsidRPr="00437D5A">
      <w:t xml:space="preserve">CRICOS </w:t>
    </w:r>
    <w:r>
      <w:t>p</w:t>
    </w:r>
    <w:r w:rsidRPr="00437D5A">
      <w:t xml:space="preserve">rovider </w:t>
    </w:r>
    <w:r>
      <w:t xml:space="preserve">name </w:t>
    </w:r>
    <w:r w:rsidRPr="00437D5A">
      <w:t xml:space="preserve">and </w:t>
    </w:r>
    <w:r>
      <w:t>c</w:t>
    </w:r>
    <w:r w:rsidRPr="00437D5A">
      <w:t>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t>2</w:t>
    </w:r>
    <w:r w:rsidRPr="00437D5A">
      <w:fldChar w:fldCharType="end"/>
    </w:r>
    <w:r w:rsidRPr="00437D5A">
      <w:t xml:space="preserve"> of </w:t>
    </w:r>
    <w:fldSimple w:instr=" NUMPAGES  \* Arabic  \* MERGEFORMAT ">
      <w:r>
        <w:t>7</w:t>
      </w:r>
    </w:fldSimple>
  </w:p>
  <w:p w14:paraId="344AE2F1" w14:textId="5076288A" w:rsidR="000E108D" w:rsidRPr="00437D5A" w:rsidRDefault="00C64183" w:rsidP="00437D5A">
    <w:pPr>
      <w:pStyle w:val="Footer"/>
      <w:tabs>
        <w:tab w:val="clear" w:pos="10348"/>
        <w:tab w:val="right" w:pos="10460"/>
      </w:tabs>
    </w:pPr>
    <w:r>
      <w:t>Copyright State of Victoria 2024</w:t>
    </w:r>
    <w:r>
      <w:tab/>
    </w:r>
    <w:r>
      <w:tab/>
      <w:t>Version 2.</w:t>
    </w:r>
    <w:r w:rsidR="00B84274">
      <w:t>1</w:t>
    </w:r>
    <w:r>
      <w:t xml:space="preserve"> as of </w:t>
    </w:r>
    <w:r w:rsidR="00B84274">
      <w:t>7 February</w:t>
    </w:r>
    <w:r>
      <w:t xml:space="preserv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FA3D" w14:textId="5FFE057B" w:rsidR="000E108D" w:rsidRDefault="000E108D" w:rsidP="00804378">
    <w:pPr>
      <w:pStyle w:val="Footer"/>
      <w:pBdr>
        <w:top w:val="none" w:sz="0" w:space="0" w:color="auto"/>
      </w:pBdr>
      <w:rPr>
        <w:lang w:eastAsia="en-AU"/>
      </w:rPr>
    </w:pPr>
  </w:p>
  <w:p w14:paraId="2BF27A3C" w14:textId="2F25273C" w:rsidR="000E108D" w:rsidRPr="00394CF6" w:rsidRDefault="005C04FB" w:rsidP="00804378">
    <w:pPr>
      <w:pStyle w:val="Footer"/>
      <w:pBdr>
        <w:top w:val="none" w:sz="0" w:space="0" w:color="auto"/>
      </w:pBdr>
    </w:pPr>
    <w:r>
      <w:rPr>
        <w:noProof/>
      </w:rPr>
      <w:drawing>
        <wp:inline distT="0" distB="0" distL="0" distR="0" wp14:anchorId="462CD07B" wp14:editId="7F17F8CC">
          <wp:extent cx="6642100" cy="78994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789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A28CE" w14:textId="77777777" w:rsidR="00F36A90" w:rsidRDefault="00F36A90">
      <w:pPr>
        <w:spacing w:line="240" w:lineRule="auto"/>
      </w:pPr>
      <w:r>
        <w:separator/>
      </w:r>
    </w:p>
  </w:footnote>
  <w:footnote w:type="continuationSeparator" w:id="0">
    <w:p w14:paraId="1FE7A12E" w14:textId="77777777" w:rsidR="00F36A90" w:rsidRDefault="00F36A90">
      <w:pPr>
        <w:spacing w:line="240" w:lineRule="auto"/>
      </w:pPr>
      <w:r>
        <w:continuationSeparator/>
      </w:r>
    </w:p>
  </w:footnote>
  <w:footnote w:type="continuationNotice" w:id="1">
    <w:p w14:paraId="0BF4B0A4" w14:textId="77777777" w:rsidR="00F36A90" w:rsidRDefault="00F36A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1F45" w14:textId="77777777" w:rsidR="000E108D" w:rsidRPr="00B367E9" w:rsidRDefault="000E108D" w:rsidP="006E06A7">
    <w:pPr>
      <w:pStyle w:val="Header"/>
    </w:pPr>
    <w:r>
      <w:rPr>
        <w:noProof/>
        <w:lang w:eastAsia="en-AU"/>
      </w:rPr>
      <w:drawing>
        <wp:anchor distT="0" distB="0" distL="114300" distR="114300" simplePos="0" relativeHeight="251658240" behindDoc="0" locked="0" layoutInCell="1" allowOverlap="1" wp14:anchorId="5729C92F" wp14:editId="7917F380">
          <wp:simplePos x="0" y="0"/>
          <wp:positionH relativeFrom="column">
            <wp:posOffset>-456837</wp:posOffset>
          </wp:positionH>
          <wp:positionV relativeFrom="paragraph">
            <wp:posOffset>-342900</wp:posOffset>
          </wp:positionV>
          <wp:extent cx="7664654" cy="1393293"/>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3"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4"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37DC4314"/>
    <w:multiLevelType w:val="multilevel"/>
    <w:tmpl w:val="2C38BA9C"/>
    <w:numStyleLink w:val="BASTCoPList"/>
  </w:abstractNum>
  <w:abstractNum w:abstractNumId="17"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8"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AC60B1"/>
    <w:multiLevelType w:val="hybridMultilevel"/>
    <w:tmpl w:val="17383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6"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39409A"/>
    <w:multiLevelType w:val="multilevel"/>
    <w:tmpl w:val="AC70F576"/>
    <w:numStyleLink w:val="BulletList"/>
  </w:abstractNum>
  <w:abstractNum w:abstractNumId="28" w15:restartNumberingAfterBreak="0">
    <w:nsid w:val="7E7D5B93"/>
    <w:multiLevelType w:val="hybridMultilevel"/>
    <w:tmpl w:val="BF084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1604376">
    <w:abstractNumId w:val="9"/>
  </w:num>
  <w:num w:numId="2" w16cid:durableId="31806517">
    <w:abstractNumId w:val="7"/>
  </w:num>
  <w:num w:numId="3" w16cid:durableId="624314950">
    <w:abstractNumId w:val="6"/>
  </w:num>
  <w:num w:numId="4" w16cid:durableId="1131554723">
    <w:abstractNumId w:val="5"/>
  </w:num>
  <w:num w:numId="5" w16cid:durableId="1468626013">
    <w:abstractNumId w:val="4"/>
  </w:num>
  <w:num w:numId="6" w16cid:durableId="117995170">
    <w:abstractNumId w:val="8"/>
  </w:num>
  <w:num w:numId="7" w16cid:durableId="1752963540">
    <w:abstractNumId w:val="3"/>
  </w:num>
  <w:num w:numId="8" w16cid:durableId="972294900">
    <w:abstractNumId w:val="2"/>
  </w:num>
  <w:num w:numId="9" w16cid:durableId="442924846">
    <w:abstractNumId w:val="1"/>
  </w:num>
  <w:num w:numId="10" w16cid:durableId="937372954">
    <w:abstractNumId w:val="0"/>
  </w:num>
  <w:num w:numId="11" w16cid:durableId="1984499788">
    <w:abstractNumId w:val="18"/>
  </w:num>
  <w:num w:numId="12" w16cid:durableId="1643195242">
    <w:abstractNumId w:val="19"/>
  </w:num>
  <w:num w:numId="13" w16cid:durableId="1177189651">
    <w:abstractNumId w:val="20"/>
  </w:num>
  <w:num w:numId="14" w16cid:durableId="250164163">
    <w:abstractNumId w:val="24"/>
  </w:num>
  <w:num w:numId="15" w16cid:durableId="963536162">
    <w:abstractNumId w:val="26"/>
  </w:num>
  <w:num w:numId="16" w16cid:durableId="1096364576">
    <w:abstractNumId w:val="25"/>
  </w:num>
  <w:num w:numId="17" w16cid:durableId="1623148362">
    <w:abstractNumId w:val="23"/>
  </w:num>
  <w:num w:numId="18" w16cid:durableId="2003921992">
    <w:abstractNumId w:val="11"/>
  </w:num>
  <w:num w:numId="19" w16cid:durableId="552810786">
    <w:abstractNumId w:val="21"/>
  </w:num>
  <w:num w:numId="20" w16cid:durableId="1601791942">
    <w:abstractNumId w:val="14"/>
  </w:num>
  <w:num w:numId="21" w16cid:durableId="2120567671">
    <w:abstractNumId w:val="15"/>
  </w:num>
  <w:num w:numId="22" w16cid:durableId="314333158">
    <w:abstractNumId w:val="12"/>
  </w:num>
  <w:num w:numId="23" w16cid:durableId="1386642201">
    <w:abstractNumId w:val="27"/>
  </w:num>
  <w:num w:numId="24" w16cid:durableId="1691250571">
    <w:abstractNumId w:val="27"/>
  </w:num>
  <w:num w:numId="25" w16cid:durableId="2092000736">
    <w:abstractNumId w:val="27"/>
  </w:num>
  <w:num w:numId="26" w16cid:durableId="312608593">
    <w:abstractNumId w:val="10"/>
  </w:num>
  <w:num w:numId="27" w16cid:durableId="1103920880">
    <w:abstractNumId w:val="14"/>
  </w:num>
  <w:num w:numId="28" w16cid:durableId="1209221243">
    <w:abstractNumId w:val="15"/>
  </w:num>
  <w:num w:numId="29" w16cid:durableId="261030970">
    <w:abstractNumId w:val="12"/>
  </w:num>
  <w:num w:numId="30" w16cid:durableId="1839734527">
    <w:abstractNumId w:val="16"/>
  </w:num>
  <w:num w:numId="31" w16cid:durableId="1696274092">
    <w:abstractNumId w:val="16"/>
  </w:num>
  <w:num w:numId="32" w16cid:durableId="120392270">
    <w:abstractNumId w:val="16"/>
  </w:num>
  <w:num w:numId="33" w16cid:durableId="511185087">
    <w:abstractNumId w:val="27"/>
  </w:num>
  <w:num w:numId="34" w16cid:durableId="1163811610">
    <w:abstractNumId w:val="27"/>
  </w:num>
  <w:num w:numId="35" w16cid:durableId="91168926">
    <w:abstractNumId w:val="27"/>
  </w:num>
  <w:num w:numId="36" w16cid:durableId="457800032">
    <w:abstractNumId w:val="13"/>
  </w:num>
  <w:num w:numId="37" w16cid:durableId="1463422044">
    <w:abstractNumId w:val="13"/>
  </w:num>
  <w:num w:numId="38" w16cid:durableId="1183009569">
    <w:abstractNumId w:val="17"/>
  </w:num>
  <w:num w:numId="39" w16cid:durableId="878249728">
    <w:abstractNumId w:val="13"/>
  </w:num>
  <w:num w:numId="40" w16cid:durableId="14680102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44276974">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32832028">
    <w:abstractNumId w:val="28"/>
  </w:num>
  <w:num w:numId="43" w16cid:durableId="9573735">
    <w:abstractNumId w:val="27"/>
  </w:num>
  <w:num w:numId="44" w16cid:durableId="1451897547">
    <w:abstractNumId w:val="22"/>
  </w:num>
  <w:num w:numId="45" w16cid:durableId="1424689737">
    <w:abstractNumId w:val="27"/>
  </w:num>
  <w:num w:numId="46" w16cid:durableId="53407981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OxNDa0sDCwNDE1MjNS0lEKTi0uzszPAykwrgUAyPv6SSwAAAA="/>
    <w:docVar w:name="ShowDynamicGuides" w:val="1"/>
    <w:docVar w:name="ShowMarginGuides" w:val="0"/>
    <w:docVar w:name="ShowOutlines" w:val="0"/>
    <w:docVar w:name="ShowStaticGuides" w:val="0"/>
  </w:docVars>
  <w:rsids>
    <w:rsidRoot w:val="004323F9"/>
    <w:rsid w:val="00005D4A"/>
    <w:rsid w:val="000064B9"/>
    <w:rsid w:val="00023521"/>
    <w:rsid w:val="00024404"/>
    <w:rsid w:val="00027634"/>
    <w:rsid w:val="00041775"/>
    <w:rsid w:val="00047508"/>
    <w:rsid w:val="0006740D"/>
    <w:rsid w:val="000712D5"/>
    <w:rsid w:val="00072E91"/>
    <w:rsid w:val="0007427E"/>
    <w:rsid w:val="000942B0"/>
    <w:rsid w:val="000B71CD"/>
    <w:rsid w:val="000C10C8"/>
    <w:rsid w:val="000C2E7D"/>
    <w:rsid w:val="000D10CA"/>
    <w:rsid w:val="000D39AF"/>
    <w:rsid w:val="000D485E"/>
    <w:rsid w:val="000D50FB"/>
    <w:rsid w:val="000E108D"/>
    <w:rsid w:val="000E19C7"/>
    <w:rsid w:val="000E5D45"/>
    <w:rsid w:val="000E6AB2"/>
    <w:rsid w:val="001251B9"/>
    <w:rsid w:val="0012684A"/>
    <w:rsid w:val="00137408"/>
    <w:rsid w:val="00144386"/>
    <w:rsid w:val="0014588F"/>
    <w:rsid w:val="00150560"/>
    <w:rsid w:val="00155DCA"/>
    <w:rsid w:val="00160255"/>
    <w:rsid w:val="00174FF7"/>
    <w:rsid w:val="001878AD"/>
    <w:rsid w:val="001A53D7"/>
    <w:rsid w:val="001B2030"/>
    <w:rsid w:val="001C001C"/>
    <w:rsid w:val="001C41F8"/>
    <w:rsid w:val="001C712A"/>
    <w:rsid w:val="001C725A"/>
    <w:rsid w:val="001D666D"/>
    <w:rsid w:val="001F0F6F"/>
    <w:rsid w:val="001F1231"/>
    <w:rsid w:val="001F6E93"/>
    <w:rsid w:val="001F74DB"/>
    <w:rsid w:val="0020201E"/>
    <w:rsid w:val="00203E4B"/>
    <w:rsid w:val="0020669E"/>
    <w:rsid w:val="0021013E"/>
    <w:rsid w:val="002131DC"/>
    <w:rsid w:val="00222B2A"/>
    <w:rsid w:val="00225F5B"/>
    <w:rsid w:val="002271C7"/>
    <w:rsid w:val="0023276D"/>
    <w:rsid w:val="00246DFC"/>
    <w:rsid w:val="002531D8"/>
    <w:rsid w:val="002841EE"/>
    <w:rsid w:val="0028666E"/>
    <w:rsid w:val="002878AA"/>
    <w:rsid w:val="002952DE"/>
    <w:rsid w:val="002971B2"/>
    <w:rsid w:val="002A3D1F"/>
    <w:rsid w:val="002A4120"/>
    <w:rsid w:val="002B480E"/>
    <w:rsid w:val="002B59C6"/>
    <w:rsid w:val="002C3C1B"/>
    <w:rsid w:val="002D02B9"/>
    <w:rsid w:val="002D2ED8"/>
    <w:rsid w:val="002E3BC2"/>
    <w:rsid w:val="00315318"/>
    <w:rsid w:val="003202B2"/>
    <w:rsid w:val="00326383"/>
    <w:rsid w:val="00335B80"/>
    <w:rsid w:val="003377B0"/>
    <w:rsid w:val="00351A0A"/>
    <w:rsid w:val="00352A6B"/>
    <w:rsid w:val="00352F7A"/>
    <w:rsid w:val="00371A90"/>
    <w:rsid w:val="003741B6"/>
    <w:rsid w:val="00392389"/>
    <w:rsid w:val="00392BAB"/>
    <w:rsid w:val="00394CF6"/>
    <w:rsid w:val="003A7F81"/>
    <w:rsid w:val="003B2C18"/>
    <w:rsid w:val="003B6520"/>
    <w:rsid w:val="003C54CB"/>
    <w:rsid w:val="003C762D"/>
    <w:rsid w:val="003D7701"/>
    <w:rsid w:val="003E33A4"/>
    <w:rsid w:val="003E7CFD"/>
    <w:rsid w:val="003F3CDE"/>
    <w:rsid w:val="004068E7"/>
    <w:rsid w:val="00410C4D"/>
    <w:rsid w:val="00414E7B"/>
    <w:rsid w:val="0041600D"/>
    <w:rsid w:val="00420B8B"/>
    <w:rsid w:val="004323F9"/>
    <w:rsid w:val="00435143"/>
    <w:rsid w:val="00437D5A"/>
    <w:rsid w:val="004508D4"/>
    <w:rsid w:val="00450F94"/>
    <w:rsid w:val="00457DF2"/>
    <w:rsid w:val="0046054C"/>
    <w:rsid w:val="004632EF"/>
    <w:rsid w:val="00487E5A"/>
    <w:rsid w:val="00494657"/>
    <w:rsid w:val="004B0E7A"/>
    <w:rsid w:val="004B4062"/>
    <w:rsid w:val="004B46AC"/>
    <w:rsid w:val="004C27D6"/>
    <w:rsid w:val="004C373C"/>
    <w:rsid w:val="004D443C"/>
    <w:rsid w:val="004D488E"/>
    <w:rsid w:val="004E409F"/>
    <w:rsid w:val="004F4549"/>
    <w:rsid w:val="004F747C"/>
    <w:rsid w:val="004F77FB"/>
    <w:rsid w:val="005107A5"/>
    <w:rsid w:val="00514E6C"/>
    <w:rsid w:val="005244F5"/>
    <w:rsid w:val="00524E62"/>
    <w:rsid w:val="00532CD2"/>
    <w:rsid w:val="00533AA2"/>
    <w:rsid w:val="00542B56"/>
    <w:rsid w:val="00543E08"/>
    <w:rsid w:val="00555EC7"/>
    <w:rsid w:val="005566E9"/>
    <w:rsid w:val="0056185C"/>
    <w:rsid w:val="00571B02"/>
    <w:rsid w:val="00572EFD"/>
    <w:rsid w:val="0058165A"/>
    <w:rsid w:val="0058380F"/>
    <w:rsid w:val="0059509E"/>
    <w:rsid w:val="005B5E1A"/>
    <w:rsid w:val="005C04FB"/>
    <w:rsid w:val="005D3A7F"/>
    <w:rsid w:val="005E1A66"/>
    <w:rsid w:val="00602171"/>
    <w:rsid w:val="00613644"/>
    <w:rsid w:val="00627E19"/>
    <w:rsid w:val="00630F76"/>
    <w:rsid w:val="00632D04"/>
    <w:rsid w:val="00636603"/>
    <w:rsid w:val="00651662"/>
    <w:rsid w:val="00654D09"/>
    <w:rsid w:val="00670D2B"/>
    <w:rsid w:val="00681369"/>
    <w:rsid w:val="00684A92"/>
    <w:rsid w:val="00696162"/>
    <w:rsid w:val="006A3271"/>
    <w:rsid w:val="006A4835"/>
    <w:rsid w:val="006A74C8"/>
    <w:rsid w:val="006C1D99"/>
    <w:rsid w:val="006C72EE"/>
    <w:rsid w:val="006E06A7"/>
    <w:rsid w:val="006E3476"/>
    <w:rsid w:val="006F7286"/>
    <w:rsid w:val="007176D9"/>
    <w:rsid w:val="0072291D"/>
    <w:rsid w:val="00727F7E"/>
    <w:rsid w:val="00734E9D"/>
    <w:rsid w:val="00736043"/>
    <w:rsid w:val="00741521"/>
    <w:rsid w:val="00745FFB"/>
    <w:rsid w:val="007479AC"/>
    <w:rsid w:val="00763B64"/>
    <w:rsid w:val="00785033"/>
    <w:rsid w:val="00785381"/>
    <w:rsid w:val="00796555"/>
    <w:rsid w:val="007A324A"/>
    <w:rsid w:val="007A7745"/>
    <w:rsid w:val="007B7AE3"/>
    <w:rsid w:val="007C2448"/>
    <w:rsid w:val="007D2EC9"/>
    <w:rsid w:val="007E5D46"/>
    <w:rsid w:val="007E5F88"/>
    <w:rsid w:val="007E70B3"/>
    <w:rsid w:val="007F0ECE"/>
    <w:rsid w:val="007F35FF"/>
    <w:rsid w:val="00803AA9"/>
    <w:rsid w:val="00803CE8"/>
    <w:rsid w:val="00804378"/>
    <w:rsid w:val="00804578"/>
    <w:rsid w:val="00804C16"/>
    <w:rsid w:val="008119A7"/>
    <w:rsid w:val="00813B4C"/>
    <w:rsid w:val="00814617"/>
    <w:rsid w:val="0082216D"/>
    <w:rsid w:val="00825F76"/>
    <w:rsid w:val="00835CA4"/>
    <w:rsid w:val="0083692B"/>
    <w:rsid w:val="00851C86"/>
    <w:rsid w:val="008621E8"/>
    <w:rsid w:val="00862CAC"/>
    <w:rsid w:val="0087321F"/>
    <w:rsid w:val="00876A89"/>
    <w:rsid w:val="00894D36"/>
    <w:rsid w:val="00895ED0"/>
    <w:rsid w:val="0089731A"/>
    <w:rsid w:val="008A19C7"/>
    <w:rsid w:val="008B0979"/>
    <w:rsid w:val="008B1E4A"/>
    <w:rsid w:val="008D19D9"/>
    <w:rsid w:val="00900B38"/>
    <w:rsid w:val="009032B6"/>
    <w:rsid w:val="00903707"/>
    <w:rsid w:val="00906A8B"/>
    <w:rsid w:val="0091104F"/>
    <w:rsid w:val="0091651A"/>
    <w:rsid w:val="00923E06"/>
    <w:rsid w:val="00926502"/>
    <w:rsid w:val="00926E18"/>
    <w:rsid w:val="00950232"/>
    <w:rsid w:val="00951C39"/>
    <w:rsid w:val="00970CE5"/>
    <w:rsid w:val="0097557C"/>
    <w:rsid w:val="00985CAD"/>
    <w:rsid w:val="00991613"/>
    <w:rsid w:val="009A20EC"/>
    <w:rsid w:val="009B7ACE"/>
    <w:rsid w:val="009C41BD"/>
    <w:rsid w:val="009C526E"/>
    <w:rsid w:val="009C60BD"/>
    <w:rsid w:val="009E4AE6"/>
    <w:rsid w:val="009E6F19"/>
    <w:rsid w:val="00A261CB"/>
    <w:rsid w:val="00A27603"/>
    <w:rsid w:val="00A32828"/>
    <w:rsid w:val="00A41D10"/>
    <w:rsid w:val="00A50AF8"/>
    <w:rsid w:val="00A625A3"/>
    <w:rsid w:val="00A67FAE"/>
    <w:rsid w:val="00A70033"/>
    <w:rsid w:val="00A74561"/>
    <w:rsid w:val="00A74FA1"/>
    <w:rsid w:val="00A849A5"/>
    <w:rsid w:val="00A908EC"/>
    <w:rsid w:val="00A93462"/>
    <w:rsid w:val="00AC0148"/>
    <w:rsid w:val="00AD0ED7"/>
    <w:rsid w:val="00AD2439"/>
    <w:rsid w:val="00AE05C1"/>
    <w:rsid w:val="00AE7D41"/>
    <w:rsid w:val="00AF613B"/>
    <w:rsid w:val="00AF66AE"/>
    <w:rsid w:val="00AF7EE7"/>
    <w:rsid w:val="00B1195A"/>
    <w:rsid w:val="00B11A6E"/>
    <w:rsid w:val="00B13D87"/>
    <w:rsid w:val="00B21ECC"/>
    <w:rsid w:val="00B2210B"/>
    <w:rsid w:val="00B32E5D"/>
    <w:rsid w:val="00B330FC"/>
    <w:rsid w:val="00B367E9"/>
    <w:rsid w:val="00B40B7F"/>
    <w:rsid w:val="00B429E8"/>
    <w:rsid w:val="00B61E19"/>
    <w:rsid w:val="00B62558"/>
    <w:rsid w:val="00B63A28"/>
    <w:rsid w:val="00B662D4"/>
    <w:rsid w:val="00B765C9"/>
    <w:rsid w:val="00B84274"/>
    <w:rsid w:val="00B855B7"/>
    <w:rsid w:val="00B85F89"/>
    <w:rsid w:val="00B9099B"/>
    <w:rsid w:val="00B94043"/>
    <w:rsid w:val="00B95489"/>
    <w:rsid w:val="00BB03AC"/>
    <w:rsid w:val="00BC007C"/>
    <w:rsid w:val="00BD3DC3"/>
    <w:rsid w:val="00BE39F7"/>
    <w:rsid w:val="00BF0B35"/>
    <w:rsid w:val="00C003B6"/>
    <w:rsid w:val="00C13AF3"/>
    <w:rsid w:val="00C64183"/>
    <w:rsid w:val="00C70142"/>
    <w:rsid w:val="00C72C0F"/>
    <w:rsid w:val="00C74600"/>
    <w:rsid w:val="00C75B05"/>
    <w:rsid w:val="00C76DEA"/>
    <w:rsid w:val="00C8604B"/>
    <w:rsid w:val="00CA5249"/>
    <w:rsid w:val="00CA7FEC"/>
    <w:rsid w:val="00CB353B"/>
    <w:rsid w:val="00CC09BC"/>
    <w:rsid w:val="00CE3850"/>
    <w:rsid w:val="00CF3695"/>
    <w:rsid w:val="00D00425"/>
    <w:rsid w:val="00D01D2A"/>
    <w:rsid w:val="00D053E8"/>
    <w:rsid w:val="00D266E8"/>
    <w:rsid w:val="00D2796F"/>
    <w:rsid w:val="00D43386"/>
    <w:rsid w:val="00D45DD8"/>
    <w:rsid w:val="00D577A1"/>
    <w:rsid w:val="00D607B7"/>
    <w:rsid w:val="00D6378B"/>
    <w:rsid w:val="00D656F8"/>
    <w:rsid w:val="00D67213"/>
    <w:rsid w:val="00D706BD"/>
    <w:rsid w:val="00D7190D"/>
    <w:rsid w:val="00D71D76"/>
    <w:rsid w:val="00D723FB"/>
    <w:rsid w:val="00D9264C"/>
    <w:rsid w:val="00D958AF"/>
    <w:rsid w:val="00DB1290"/>
    <w:rsid w:val="00DB282D"/>
    <w:rsid w:val="00DB61AB"/>
    <w:rsid w:val="00DC4F2C"/>
    <w:rsid w:val="00DC7292"/>
    <w:rsid w:val="00DD026C"/>
    <w:rsid w:val="00DD4BC5"/>
    <w:rsid w:val="00DE6640"/>
    <w:rsid w:val="00DF61E7"/>
    <w:rsid w:val="00DF6528"/>
    <w:rsid w:val="00DF6C81"/>
    <w:rsid w:val="00E17DED"/>
    <w:rsid w:val="00E21C0A"/>
    <w:rsid w:val="00E2249E"/>
    <w:rsid w:val="00E523D1"/>
    <w:rsid w:val="00E5279E"/>
    <w:rsid w:val="00E55322"/>
    <w:rsid w:val="00E62E89"/>
    <w:rsid w:val="00E72DEC"/>
    <w:rsid w:val="00E74F56"/>
    <w:rsid w:val="00E84BFF"/>
    <w:rsid w:val="00E9202C"/>
    <w:rsid w:val="00E93D38"/>
    <w:rsid w:val="00E969A6"/>
    <w:rsid w:val="00EA17A2"/>
    <w:rsid w:val="00EA4710"/>
    <w:rsid w:val="00EB7625"/>
    <w:rsid w:val="00EC05E8"/>
    <w:rsid w:val="00ED2509"/>
    <w:rsid w:val="00EE321A"/>
    <w:rsid w:val="00EE488D"/>
    <w:rsid w:val="00EF47AC"/>
    <w:rsid w:val="00F065A3"/>
    <w:rsid w:val="00F36A90"/>
    <w:rsid w:val="00F54A89"/>
    <w:rsid w:val="00F571EB"/>
    <w:rsid w:val="00F67690"/>
    <w:rsid w:val="00F70DE1"/>
    <w:rsid w:val="00F7437B"/>
    <w:rsid w:val="00F81311"/>
    <w:rsid w:val="00F818DE"/>
    <w:rsid w:val="00F82399"/>
    <w:rsid w:val="00F87324"/>
    <w:rsid w:val="00FB560E"/>
    <w:rsid w:val="00FC1EF3"/>
    <w:rsid w:val="00FC41DA"/>
    <w:rsid w:val="00FC645D"/>
    <w:rsid w:val="00FC7626"/>
    <w:rsid w:val="00FD24EB"/>
    <w:rsid w:val="00FE16A2"/>
    <w:rsid w:val="00FE566D"/>
    <w:rsid w:val="00FE6E69"/>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6F76DE"/>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1"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555EC7"/>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B1195A"/>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315318"/>
    <w:pPr>
      <w:keepNext/>
      <w:keepLines/>
      <w:numPr>
        <w:ilvl w:val="1"/>
        <w:numId w:val="32"/>
      </w:numPr>
      <w:spacing w:before="200" w:after="80" w:line="336" w:lineRule="atLeast"/>
      <w:outlineLvl w:val="1"/>
    </w:pPr>
    <w:rPr>
      <w:rFonts w:eastAsiaTheme="majorEastAsia" w:cstheme="majorBidi"/>
      <w:b/>
      <w:color w:val="00BAC0"/>
      <w:sz w:val="24"/>
      <w:szCs w:val="24"/>
    </w:rPr>
  </w:style>
  <w:style w:type="paragraph" w:styleId="Heading3">
    <w:name w:val="heading 3"/>
    <w:basedOn w:val="Normal"/>
    <w:next w:val="BodyText"/>
    <w:link w:val="Heading3Char"/>
    <w:uiPriority w:val="4"/>
    <w:qFormat/>
    <w:rsid w:val="00B94043"/>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uiPriority w:val="99"/>
    <w:unhideWhenUsed/>
    <w:rsid w:val="0097557C"/>
    <w:pPr>
      <w:spacing w:line="240" w:lineRule="auto"/>
    </w:pPr>
  </w:style>
  <w:style w:type="character" w:customStyle="1" w:styleId="CommentTextChar">
    <w:name w:val="Comment Text Char"/>
    <w:basedOn w:val="DefaultParagraphFont"/>
    <w:link w:val="CommentText"/>
    <w:uiPriority w:val="99"/>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B1195A"/>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315318"/>
    <w:rPr>
      <w:rFonts w:ascii="Arial" w:eastAsiaTheme="majorEastAsia" w:hAnsi="Arial" w:cstheme="majorBidi"/>
      <w:b/>
      <w:color w:val="00BAC0"/>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1"/>
    <w:qFormat/>
    <w:rsid w:val="00A70033"/>
    <w:pPr>
      <w:numPr>
        <w:numId w:val="35"/>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36"/>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basedOn w:val="Normal"/>
    <w:link w:val="BodyTextChar"/>
    <w:uiPriority w:val="5"/>
    <w:rsid w:val="00315318"/>
    <w:pPr>
      <w:spacing w:before="140" w:after="140"/>
      <w:jc w:val="both"/>
    </w:pPr>
    <w:rPr>
      <w:szCs w:val="18"/>
    </w:rPr>
  </w:style>
  <w:style w:type="character" w:customStyle="1" w:styleId="BodyTextChar">
    <w:name w:val="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paragraph" w:styleId="ListParagraph">
    <w:name w:val="List Paragraph"/>
    <w:basedOn w:val="Normal"/>
    <w:uiPriority w:val="34"/>
    <w:qFormat/>
    <w:rsid w:val="00A32828"/>
    <w:pPr>
      <w:ind w:left="720"/>
      <w:contextualSpacing/>
    </w:pPr>
  </w:style>
  <w:style w:type="character" w:styleId="CommentReference">
    <w:name w:val="annotation reference"/>
    <w:basedOn w:val="DefaultParagraphFont"/>
    <w:uiPriority w:val="99"/>
    <w:semiHidden/>
    <w:unhideWhenUsed/>
    <w:rsid w:val="001D666D"/>
    <w:rPr>
      <w:sz w:val="16"/>
      <w:szCs w:val="16"/>
    </w:rPr>
  </w:style>
  <w:style w:type="paragraph" w:styleId="Revision">
    <w:name w:val="Revision"/>
    <w:hidden/>
    <w:uiPriority w:val="99"/>
    <w:semiHidden/>
    <w:rsid w:val="00435143"/>
    <w:rPr>
      <w:rFonts w:ascii="Arial" w:eastAsiaTheme="minorHAnsi" w:hAnsi="Arial"/>
      <w:color w:val="333333"/>
      <w:sz w:val="18"/>
      <w:szCs w:val="20"/>
      <w:lang w:val="en-AU"/>
    </w:rPr>
  </w:style>
  <w:style w:type="character" w:styleId="FollowedHyperlink">
    <w:name w:val="FollowedHyperlink"/>
    <w:basedOn w:val="DefaultParagraphFont"/>
    <w:uiPriority w:val="99"/>
    <w:semiHidden/>
    <w:unhideWhenUsed/>
    <w:rsid w:val="00E9202C"/>
    <w:rPr>
      <w:color w:val="8D009F" w:themeColor="followedHyperlink"/>
      <w:u w:val="single"/>
    </w:rPr>
  </w:style>
  <w:style w:type="character" w:styleId="UnresolvedMention">
    <w:name w:val="Unresolved Mention"/>
    <w:basedOn w:val="DefaultParagraphFont"/>
    <w:uiPriority w:val="99"/>
    <w:semiHidden/>
    <w:unhideWhenUsed/>
    <w:rsid w:val="00253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0925">
      <w:bodyDiv w:val="1"/>
      <w:marLeft w:val="0"/>
      <w:marRight w:val="0"/>
      <w:marTop w:val="0"/>
      <w:marBottom w:val="0"/>
      <w:divBdr>
        <w:top w:val="none" w:sz="0" w:space="0" w:color="auto"/>
        <w:left w:val="none" w:sz="0" w:space="0" w:color="auto"/>
        <w:bottom w:val="none" w:sz="0" w:space="0" w:color="auto"/>
        <w:right w:val="none" w:sz="0" w:space="0" w:color="auto"/>
      </w:divBdr>
    </w:div>
    <w:div w:id="225534733">
      <w:bodyDiv w:val="1"/>
      <w:marLeft w:val="0"/>
      <w:marRight w:val="0"/>
      <w:marTop w:val="0"/>
      <w:marBottom w:val="0"/>
      <w:divBdr>
        <w:top w:val="none" w:sz="0" w:space="0" w:color="auto"/>
        <w:left w:val="none" w:sz="0" w:space="0" w:color="auto"/>
        <w:bottom w:val="none" w:sz="0" w:space="0" w:color="auto"/>
        <w:right w:val="none" w:sz="0" w:space="0" w:color="auto"/>
      </w:divBdr>
      <w:divsChild>
        <w:div w:id="241765864">
          <w:marLeft w:val="0"/>
          <w:marRight w:val="0"/>
          <w:marTop w:val="0"/>
          <w:marBottom w:val="0"/>
          <w:divBdr>
            <w:top w:val="none" w:sz="0" w:space="0" w:color="auto"/>
            <w:left w:val="none" w:sz="0" w:space="0" w:color="auto"/>
            <w:bottom w:val="none" w:sz="0" w:space="0" w:color="auto"/>
            <w:right w:val="none" w:sz="0" w:space="0" w:color="auto"/>
          </w:divBdr>
          <w:divsChild>
            <w:div w:id="1672872590">
              <w:marLeft w:val="0"/>
              <w:marRight w:val="0"/>
              <w:marTop w:val="0"/>
              <w:marBottom w:val="0"/>
              <w:divBdr>
                <w:top w:val="none" w:sz="0" w:space="0" w:color="auto"/>
                <w:left w:val="none" w:sz="0" w:space="0" w:color="auto"/>
                <w:bottom w:val="none" w:sz="0" w:space="0" w:color="auto"/>
                <w:right w:val="none" w:sz="0" w:space="0" w:color="auto"/>
              </w:divBdr>
              <w:divsChild>
                <w:div w:id="714542500">
                  <w:marLeft w:val="0"/>
                  <w:marRight w:val="0"/>
                  <w:marTop w:val="0"/>
                  <w:marBottom w:val="0"/>
                  <w:divBdr>
                    <w:top w:val="none" w:sz="0" w:space="0" w:color="auto"/>
                    <w:left w:val="none" w:sz="0" w:space="0" w:color="auto"/>
                    <w:bottom w:val="none" w:sz="0" w:space="0" w:color="auto"/>
                    <w:right w:val="none" w:sz="0" w:space="0" w:color="auto"/>
                  </w:divBdr>
                  <w:divsChild>
                    <w:div w:id="2030982791">
                      <w:marLeft w:val="0"/>
                      <w:marRight w:val="0"/>
                      <w:marTop w:val="0"/>
                      <w:marBottom w:val="0"/>
                      <w:divBdr>
                        <w:top w:val="none" w:sz="0" w:space="0" w:color="auto"/>
                        <w:left w:val="none" w:sz="0" w:space="0" w:color="auto"/>
                        <w:bottom w:val="none" w:sz="0" w:space="0" w:color="auto"/>
                        <w:right w:val="none" w:sz="0" w:space="0" w:color="auto"/>
                      </w:divBdr>
                      <w:divsChild>
                        <w:div w:id="331759310">
                          <w:marLeft w:val="0"/>
                          <w:marRight w:val="0"/>
                          <w:marTop w:val="0"/>
                          <w:marBottom w:val="0"/>
                          <w:divBdr>
                            <w:top w:val="none" w:sz="0" w:space="0" w:color="auto"/>
                            <w:left w:val="none" w:sz="0" w:space="0" w:color="auto"/>
                            <w:bottom w:val="none" w:sz="0" w:space="0" w:color="auto"/>
                            <w:right w:val="none" w:sz="0" w:space="0" w:color="auto"/>
                          </w:divBdr>
                          <w:divsChild>
                            <w:div w:id="2065373029">
                              <w:marLeft w:val="0"/>
                              <w:marRight w:val="0"/>
                              <w:marTop w:val="0"/>
                              <w:marBottom w:val="0"/>
                              <w:divBdr>
                                <w:top w:val="none" w:sz="0" w:space="0" w:color="auto"/>
                                <w:left w:val="none" w:sz="0" w:space="0" w:color="auto"/>
                                <w:bottom w:val="none" w:sz="0" w:space="0" w:color="auto"/>
                                <w:right w:val="none" w:sz="0" w:space="0" w:color="auto"/>
                              </w:divBdr>
                              <w:divsChild>
                                <w:div w:id="1280068863">
                                  <w:marLeft w:val="0"/>
                                  <w:marRight w:val="0"/>
                                  <w:marTop w:val="0"/>
                                  <w:marBottom w:val="0"/>
                                  <w:divBdr>
                                    <w:top w:val="none" w:sz="0" w:space="0" w:color="auto"/>
                                    <w:left w:val="none" w:sz="0" w:space="0" w:color="auto"/>
                                    <w:bottom w:val="none" w:sz="0" w:space="0" w:color="auto"/>
                                    <w:right w:val="none" w:sz="0" w:space="0" w:color="auto"/>
                                  </w:divBdr>
                                  <w:divsChild>
                                    <w:div w:id="1642467054">
                                      <w:marLeft w:val="0"/>
                                      <w:marRight w:val="0"/>
                                      <w:marTop w:val="0"/>
                                      <w:marBottom w:val="0"/>
                                      <w:divBdr>
                                        <w:top w:val="none" w:sz="0" w:space="0" w:color="auto"/>
                                        <w:left w:val="none" w:sz="0" w:space="0" w:color="auto"/>
                                        <w:bottom w:val="none" w:sz="0" w:space="0" w:color="auto"/>
                                        <w:right w:val="none" w:sz="0" w:space="0" w:color="auto"/>
                                      </w:divBdr>
                                      <w:divsChild>
                                        <w:div w:id="977299462">
                                          <w:marLeft w:val="-225"/>
                                          <w:marRight w:val="-225"/>
                                          <w:marTop w:val="0"/>
                                          <w:marBottom w:val="0"/>
                                          <w:divBdr>
                                            <w:top w:val="none" w:sz="0" w:space="0" w:color="auto"/>
                                            <w:left w:val="none" w:sz="0" w:space="0" w:color="auto"/>
                                            <w:bottom w:val="none" w:sz="0" w:space="0" w:color="auto"/>
                                            <w:right w:val="none" w:sz="0" w:space="0" w:color="auto"/>
                                          </w:divBdr>
                                          <w:divsChild>
                                            <w:div w:id="1170754266">
                                              <w:marLeft w:val="0"/>
                                              <w:marRight w:val="0"/>
                                              <w:marTop w:val="0"/>
                                              <w:marBottom w:val="0"/>
                                              <w:divBdr>
                                                <w:top w:val="none" w:sz="0" w:space="0" w:color="auto"/>
                                                <w:left w:val="none" w:sz="0" w:space="0" w:color="auto"/>
                                                <w:bottom w:val="none" w:sz="0" w:space="0" w:color="auto"/>
                                                <w:right w:val="none" w:sz="0" w:space="0" w:color="auto"/>
                                              </w:divBdr>
                                              <w:divsChild>
                                                <w:div w:id="8454636">
                                                  <w:marLeft w:val="0"/>
                                                  <w:marRight w:val="0"/>
                                                  <w:marTop w:val="75"/>
                                                  <w:marBottom w:val="0"/>
                                                  <w:divBdr>
                                                    <w:top w:val="none" w:sz="0" w:space="0" w:color="auto"/>
                                                    <w:left w:val="none" w:sz="0" w:space="0" w:color="auto"/>
                                                    <w:bottom w:val="none" w:sz="0" w:space="0" w:color="auto"/>
                                                    <w:right w:val="none" w:sz="0" w:space="0" w:color="auto"/>
                                                  </w:divBdr>
                                                  <w:divsChild>
                                                    <w:div w:id="3614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1004167925">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162238860">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 w:id="195208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tudy.vic.gov.au/Shared%20Documents/en/School_Toolkit/ISP_Homestay_Procedure.docx" TargetMode="External"/><Relationship Id="rId18" Type="http://schemas.openxmlformats.org/officeDocument/2006/relationships/hyperlink" Target="https://www.legislation.gov.au/Details/F2017L01182/Downloa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study.vic.gov.au/Shared%20Documents/en/School_Toolkit/ISP_Admissions_and_Enrolment_Procedure.docx" TargetMode="External"/><Relationship Id="rId7" Type="http://schemas.openxmlformats.org/officeDocument/2006/relationships/styles" Target="styles.xml"/><Relationship Id="rId12" Type="http://schemas.openxmlformats.org/officeDocument/2006/relationships/hyperlink" Target="https://www.study.vic.gov.au/Shared%20Documents/en/School_Toolkit/ISP_Homestay_Policy.docx" TargetMode="External"/><Relationship Id="rId17" Type="http://schemas.openxmlformats.org/officeDocument/2006/relationships/hyperlink" Target="https://www.legislation.gov.au/Series/C2004A0075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tudy.vic.gov.au/Shared%20Documents/en/School_Toolkit/ISP_Admissions_and_Enrolment_Procedure.docx" TargetMode="External"/><Relationship Id="rId20" Type="http://schemas.openxmlformats.org/officeDocument/2006/relationships/hyperlink" Target="https://www.study.vic.gov.au/Shared%20Documents/en/School_Toolkit/ISP_Homestay_Procedure.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23" Type="http://schemas.openxmlformats.org/officeDocument/2006/relationships/header" Target="header1.xml"/><Relationship Id="rId15" Type="http://schemas.openxmlformats.org/officeDocument/2006/relationships/hyperlink" Target="https://www.study.vic.gov.au/Shared%20Documents/en/School_Toolkit/ISP_Homestay_Procedure.docx" TargetMode="External"/><Relationship Id="rId10" Type="http://schemas.openxmlformats.org/officeDocument/2006/relationships/footnotes" Target="footnotes.xml"/><Relationship Id="rId19" Type="http://schemas.openxmlformats.org/officeDocument/2006/relationships/hyperlink" Target="https://www.study.vic.gov.au/Shared%20Documents/en/School_Toolkit/ISP_Homestay_Policy.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tudy.vic.gov.au/Shared%20Documents/en/School_Toolkit/ISP_Homestay_Policy.docx"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8A4D13EF611CDB4D9BD2245A9F14E0EA" ma:contentTypeVersion="11" ma:contentTypeDescription="DET Document" ma:contentTypeScope="" ma:versionID="58dda2c02acf8b9dae449f153ad4e2d7">
  <xsd:schema xmlns:xsd="http://www.w3.org/2001/XMLSchema" xmlns:xs="http://www.w3.org/2001/XMLSchema" xmlns:p="http://schemas.microsoft.com/office/2006/metadata/properties" xmlns:ns1="http://schemas.microsoft.com/sharepoint/v3" xmlns:ns2="http://schemas.microsoft.com/Sharepoint/v3" xmlns:ns3="48d741e2-8e2c-417b-b700-80de02d16da7" xmlns:ns4="513f30e4-ef4b-4508-a67c-1eb14ef752dd" targetNamespace="http://schemas.microsoft.com/office/2006/metadata/properties" ma:root="true" ma:fieldsID="e887455a1cbedc60c058f8e4c75a6411" ns1:_="" ns2:_="" ns3:_="" ns4:_="">
    <xsd:import namespace="http://schemas.microsoft.com/sharepoint/v3"/>
    <xsd:import namespace="http://schemas.microsoft.com/Sharepoint/v3"/>
    <xsd:import namespace="48d741e2-8e2c-417b-b700-80de02d16da7"/>
    <xsd:import namespace="513f30e4-ef4b-4508-a67c-1eb14ef752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element ref="ns4:IED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3f30e4-ef4b-4508-a67c-1eb14ef752dd" elementFormDefault="qualified">
    <xsd:import namespace="http://schemas.microsoft.com/office/2006/documentManagement/types"/>
    <xsd:import namespace="http://schemas.microsoft.com/office/infopath/2007/PartnerControls"/>
    <xsd:element name="IED_x0020_Unit" ma:index="19" nillable="true" ma:displayName="IED Unit" ma:default="QAU" ma:format="Dropdown" ma:internalName="IED_x0020_Unit">
      <xsd:simpleType>
        <xsd:restriction base="dms:Choice">
          <xsd:enumeration value="QAU"/>
          <xsd:enumeration value="SSU"/>
          <xsd:enumeration value="AAU"/>
          <xsd:enumeration value="FBSU"/>
          <xsd:enumeration value="MarCom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2.xml><?xml version="1.0" encoding="utf-8"?>
<ds:datastoreItem xmlns:ds="http://schemas.openxmlformats.org/officeDocument/2006/customXml" ds:itemID="{394D6040-EEA8-4C2D-B238-3D03427AD2FB}">
  <ds:schemaRefs>
    <ds:schemaRef ds:uri="http://purl.org/dc/terms/"/>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513f30e4-ef4b-4508-a67c-1eb14ef752dd"/>
    <ds:schemaRef ds:uri="48d741e2-8e2c-417b-b700-80de02d16da7"/>
    <ds:schemaRef ds:uri="http://schemas.microsoft.com/sharepoint/v3"/>
  </ds:schemaRefs>
</ds:datastoreItem>
</file>

<file path=customXml/itemProps3.xml><?xml version="1.0" encoding="utf-8"?>
<ds:datastoreItem xmlns:ds="http://schemas.openxmlformats.org/officeDocument/2006/customXml" ds:itemID="{AC8CABC4-165C-43BF-A2AC-9BAD4C14AFF9}"/>
</file>

<file path=customXml/itemProps4.xml><?xml version="1.0" encoding="utf-8"?>
<ds:datastoreItem xmlns:ds="http://schemas.openxmlformats.org/officeDocument/2006/customXml" ds:itemID="{B36DCEEE-7B0E-49DC-9CE5-A54052240AB1}">
  <ds:schemaRefs>
    <ds:schemaRef ds:uri="http://schemas.openxmlformats.org/officeDocument/2006/bibliography"/>
  </ds:schemaRefs>
</ds:datastoreItem>
</file>

<file path=customXml/itemProps5.xml><?xml version="1.0" encoding="utf-8"?>
<ds:datastoreItem xmlns:ds="http://schemas.openxmlformats.org/officeDocument/2006/customXml" ds:itemID="{16092D31-9F0C-4D28-BBB8-C08A2ECCF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513f30e4-ef4b-4508-a67c-1eb14ef75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IED Letterhead.dotx</Template>
  <TotalTime>5</TotalTime>
  <Pages>4</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Anthony Raso</cp:lastModifiedBy>
  <cp:revision>6</cp:revision>
  <cp:lastPrinted>2019-08-13T01:31:00Z</cp:lastPrinted>
  <dcterms:created xsi:type="dcterms:W3CDTF">2024-02-07T01:34:00Z</dcterms:created>
  <dcterms:modified xsi:type="dcterms:W3CDTF">2024-02-07T01:39:00Z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UniqueId">
    <vt:lpwstr>{6a448d96-1672-4c8c-9250-db7bbc63baef}</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R20230193507</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BusUnitTaxHTField0">
    <vt:lpwstr/>
  </property>
  <property fmtid="{D5CDD505-2E9C-101B-9397-08002B2CF9AE}" pid="17" name="DET_EDRMS_SecClassTaxHTField0">
    <vt:lpwstr/>
  </property>
  <property fmtid="{D5CDD505-2E9C-101B-9397-08002B2CF9AE}" pid="18" name="DET_EDRMS_RCSTaxHTField0">
    <vt:lpwstr>13.1.2 Internal Policy|ad985a07-89db-41e4-84da-e1a6cef79014</vt:lpwstr>
  </property>
  <property fmtid="{D5CDD505-2E9C-101B-9397-08002B2CF9AE}" pid="19" name="RecordPoint_SubmissionCompleted">
    <vt:lpwstr>2024-01-23T11:55:38.8430696+11:00</vt:lpwstr>
  </property>
</Properties>
</file>